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sz w:val="28"/>
        </w:rPr>
      </w:pPr>
    </w:p>
    <w:tbl>
      <w:tblPr>
        <w:tblStyle w:val="7"/>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pPr>
              <w:snapToGrid w:val="0"/>
              <w:jc w:val="center"/>
              <w:rPr>
                <w:rFonts w:ascii="Times New Roman" w:hAnsi="Times New Roman" w:eastAsia="楷体_GB2312" w:cs="Times New Roman"/>
              </w:rPr>
            </w:pPr>
            <w:r>
              <w:rPr>
                <w:rFonts w:hint="eastAsia" w:ascii="Times New Roman" w:hAnsi="Times New Roman" w:eastAsia="楷体_GB2312" w:cs="Times New Roman"/>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pPr>
              <w:snapToGrid w:val="0"/>
              <w:jc w:val="center"/>
              <w:rPr>
                <w:rFonts w:ascii="Times New Roman" w:hAnsi="Times New Roman" w:eastAsia="楷体_GB2312" w:cs="Times New Roman"/>
              </w:rPr>
            </w:pPr>
            <w:r>
              <w:rPr>
                <w:rFonts w:hint="eastAsia" w:ascii="Times New Roman" w:hAnsi="Times New Roman" w:eastAsia="楷体_GB2312" w:cs="Times New Roman"/>
              </w:rPr>
              <w:t>2019</w:t>
            </w:r>
          </w:p>
        </w:tc>
      </w:tr>
    </w:tbl>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黑体" w:cs="Times New Roman"/>
          <w:b/>
          <w:sz w:val="44"/>
        </w:rPr>
        <w:t>天津市实验教学示范中心年度报告</w:t>
      </w:r>
    </w:p>
    <w:p>
      <w:pPr>
        <w:jc w:val="center"/>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rPr>
        <w:t>21</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rPr>
        <w:t>21</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b/>
          <w:sz w:val="28"/>
        </w:rPr>
      </w:pP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实验教学中心名称</w:t>
      </w:r>
      <w:r>
        <w:rPr>
          <w:rFonts w:ascii="Times New Roman" w:hAnsi="Times New Roman" w:eastAsia="楷体_GB2312" w:cs="Times New Roman"/>
          <w:b/>
          <w:sz w:val="28"/>
        </w:rPr>
        <w:t>：</w:t>
      </w:r>
      <w:r>
        <w:rPr>
          <w:rFonts w:hint="eastAsia" w:ascii="Times New Roman" w:hAnsi="Times New Roman" w:eastAsia="楷体_GB2312" w:cs="Times New Roman"/>
          <w:b/>
          <w:sz w:val="28"/>
        </w:rPr>
        <w:t>建筑电气与智能市级实验教学示范中心（天津城建大学）</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实验教学中心主任：苏刚</w:t>
      </w:r>
    </w:p>
    <w:p>
      <w:pPr>
        <w:spacing w:before="120" w:after="120" w:line="440" w:lineRule="exact"/>
        <w:rPr>
          <w:rFonts w:hint="default" w:ascii="Times New Roman" w:hAnsi="Times New Roman" w:eastAsia="楷体_GB2312" w:cs="Times New Roman"/>
          <w:b/>
          <w:sz w:val="28"/>
          <w:lang w:val="en-US" w:eastAsia="zh-CN"/>
        </w:rPr>
      </w:pPr>
      <w:r>
        <w:rPr>
          <w:rFonts w:hint="eastAsia" w:ascii="Times New Roman" w:hAnsi="Times New Roman" w:eastAsia="楷体_GB2312" w:cs="Times New Roman"/>
          <w:b/>
          <w:sz w:val="28"/>
        </w:rPr>
        <w:t>实验教学中心</w:t>
      </w:r>
      <w:r>
        <w:rPr>
          <w:rFonts w:ascii="Times New Roman" w:hAnsi="Times New Roman" w:eastAsia="楷体_GB2312" w:cs="Times New Roman"/>
          <w:b/>
          <w:sz w:val="28"/>
        </w:rPr>
        <w:t>联系人/联系电话：陈冰</w:t>
      </w:r>
      <w:r>
        <w:rPr>
          <w:rFonts w:hint="eastAsia" w:ascii="Times New Roman" w:hAnsi="Times New Roman" w:eastAsia="楷体_GB2312" w:cs="Times New Roman"/>
          <w:b/>
          <w:sz w:val="28"/>
        </w:rPr>
        <w:t>/</w:t>
      </w:r>
      <w:r>
        <w:rPr>
          <w:rFonts w:hint="eastAsia" w:ascii="Times New Roman" w:hAnsi="Times New Roman" w:eastAsia="楷体_GB2312" w:cs="Times New Roman"/>
          <w:b/>
          <w:sz w:val="28"/>
          <w:lang w:val="en-US" w:eastAsia="zh-CN"/>
        </w:rPr>
        <w:t>022-23085138</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实验教学中心联系人电子邮箱</w:t>
      </w:r>
      <w:r>
        <w:rPr>
          <w:rFonts w:ascii="Times New Roman" w:hAnsi="Times New Roman" w:eastAsia="楷体_GB2312" w:cs="Times New Roman"/>
          <w:b/>
          <w:sz w:val="28"/>
        </w:rPr>
        <w:t>：chen</w:t>
      </w:r>
      <w:r>
        <w:rPr>
          <w:rFonts w:hint="eastAsia" w:ascii="Times New Roman" w:hAnsi="Times New Roman" w:eastAsia="楷体_GB2312" w:cs="Times New Roman"/>
          <w:b/>
          <w:sz w:val="28"/>
        </w:rPr>
        <w:t>ice79@163.com</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名称：</w:t>
      </w:r>
      <w:r>
        <w:rPr>
          <w:rFonts w:hint="eastAsia" w:ascii="Times New Roman" w:hAnsi="Times New Roman" w:eastAsia="楷体_GB2312" w:cs="Times New Roman"/>
          <w:b/>
          <w:sz w:val="28"/>
        </w:rPr>
        <w:t>天津城建大学</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联系人/联系电话：</w:t>
      </w:r>
      <w:r>
        <w:rPr>
          <w:rFonts w:hint="eastAsia" w:ascii="Times New Roman" w:hAnsi="Times New Roman" w:eastAsia="楷体_GB2312" w:cs="楷体_GB2312"/>
          <w:b/>
          <w:bCs/>
          <w:sz w:val="28"/>
          <w:szCs w:val="28"/>
        </w:rPr>
        <w:t>何森/022-23085046</w:t>
      </w:r>
    </w:p>
    <w:p>
      <w:pPr>
        <w:spacing w:before="120" w:after="120" w:line="440" w:lineRule="exact"/>
        <w:rPr>
          <w:rFonts w:ascii="Times New Roman" w:hAnsi="Times New Roman" w:eastAsia="楷体_GB2312" w:cs="Times New Roman"/>
          <w:b/>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楷体_GB2312" w:cs="Times New Roman"/>
          <w:sz w:val="28"/>
        </w:rPr>
        <w:t>2023</w:t>
      </w:r>
      <w:r>
        <w:rPr>
          <w:rFonts w:ascii="Times New Roman" w:hAnsi="Times New Roman" w:eastAsia="楷体_GB2312" w:cs="Times New Roman"/>
          <w:sz w:val="28"/>
        </w:rPr>
        <w:t xml:space="preserve">年 </w:t>
      </w:r>
      <w:r>
        <w:rPr>
          <w:rFonts w:hint="eastAsia" w:ascii="Times New Roman" w:hAnsi="Times New Roman" w:eastAsia="楷体_GB2312" w:cs="Times New Roman"/>
          <w:sz w:val="28"/>
        </w:rPr>
        <w:t>5</w:t>
      </w:r>
      <w:r>
        <w:rPr>
          <w:rFonts w:ascii="Times New Roman" w:hAnsi="Times New Roman" w:eastAsia="楷体_GB2312" w:cs="Times New Roman"/>
          <w:sz w:val="28"/>
        </w:rPr>
        <w:t xml:space="preserve"> 月 </w:t>
      </w:r>
      <w:r>
        <w:rPr>
          <w:rFonts w:hint="eastAsia" w:ascii="Times New Roman" w:hAnsi="Times New Roman" w:eastAsia="楷体_GB2312" w:cs="Times New Roman"/>
          <w:sz w:val="28"/>
        </w:rPr>
        <w:t>31</w:t>
      </w:r>
      <w:r>
        <w:rPr>
          <w:rFonts w:ascii="Times New Roman" w:hAnsi="Times New Roman" w:eastAsia="楷体_GB2312" w:cs="Times New Roman"/>
          <w:sz w:val="28"/>
        </w:rPr>
        <w:t xml:space="preserve"> 日填报</w:t>
      </w:r>
    </w:p>
    <w:p>
      <w:pPr>
        <w:widowControl/>
        <w:jc w:val="center"/>
        <w:rPr>
          <w:rFonts w:ascii="黑体" w:hAnsi="黑体" w:eastAsia="黑体" w:cs="仿宋_GB2312"/>
          <w:bCs/>
          <w:sz w:val="32"/>
          <w:szCs w:val="32"/>
        </w:rPr>
      </w:pPr>
      <w:r>
        <w:rPr>
          <w:rFonts w:ascii="仿宋_GB2312" w:eastAsia="仿宋_GB2312"/>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p>
    <w:p>
      <w:pPr>
        <w:ind w:right="-90"/>
        <w:jc w:val="center"/>
        <w:rPr>
          <w:rFonts w:ascii="仿宋_GB2312" w:eastAsia="仿宋_GB2312" w:cs="仿宋_GB2312"/>
          <w:bCs/>
          <w:sz w:val="28"/>
          <w:szCs w:val="28"/>
        </w:rPr>
      </w:pP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spacing w:line="360" w:lineRule="auto"/>
        <w:ind w:firstLine="480" w:firstLineChars="200"/>
        <w:rPr>
          <w:rFonts w:ascii="仿宋" w:hAnsi="仿宋" w:eastAsia="仿宋"/>
        </w:rPr>
      </w:pPr>
      <w:r>
        <w:rPr>
          <w:rFonts w:hint="eastAsia" w:ascii="仿宋" w:hAnsi="仿宋" w:eastAsia="仿宋"/>
        </w:rPr>
        <w:t>始终围绕我校办学宗旨，以夯实学科基础，注重专业交叉，强化工程实践，培养创新能力为目标，以培养学生工程实践能力、创新能力和综合素质为核心，以理论教学和工程实践为两条主线，实现实践教学体系层次化：基础实验层、提高设计层、综合应用开发层和科技创新层；与之相对应，实现教学内容模块化，分为：专业基础实验平台、建筑设备控制工程训练平台、建筑电气与智能化工程训练平台和新技术应用及创新平台。</w:t>
      </w:r>
    </w:p>
    <w:p>
      <w:pPr>
        <w:spacing w:line="360" w:lineRule="auto"/>
        <w:ind w:firstLine="480" w:firstLineChars="200"/>
        <w:rPr>
          <w:rFonts w:ascii="仿宋" w:hAnsi="仿宋" w:eastAsia="仿宋"/>
        </w:rPr>
      </w:pPr>
      <w:r>
        <w:rPr>
          <w:rFonts w:hint="eastAsia" w:ascii="仿宋" w:hAnsi="仿宋" w:eastAsia="仿宋"/>
        </w:rPr>
        <w:t>本中心包括电工、电子、PLC控制、单片机、电机与拖动、楼宇自动化、安全防范、消防控制、变风量空调控制、电梯控制、计算机控制、建筑供配电及照明控制、BACNet总线控制、虚拟仿真等实验室，及电工工艺、电子工艺、建筑设备控制和综合布线工程等实训室。在教学方法和教学手段上教师为主导、学生自主学习为主体的开放式教学手段，以工程教育思想为指导，理论与实践双轨并重；校内与校外实践教学双轨并重；教学与研究并重。建立“工程化”的实践教学体系，教育教学内容与实际建筑电气与智能化工程完全对接，保证人才培养质量。</w:t>
      </w:r>
    </w:p>
    <w:p>
      <w:pPr>
        <w:spacing w:line="360" w:lineRule="auto"/>
        <w:ind w:firstLine="480" w:firstLineChars="200"/>
        <w:rPr>
          <w:rFonts w:ascii="仿宋" w:hAnsi="仿宋" w:eastAsia="仿宋"/>
        </w:rPr>
      </w:pPr>
      <w:r>
        <w:rPr>
          <w:rFonts w:ascii="仿宋" w:hAnsi="仿宋" w:eastAsia="仿宋"/>
        </w:rPr>
        <w:t>20</w:t>
      </w:r>
      <w:r>
        <w:rPr>
          <w:rFonts w:hint="eastAsia" w:ascii="仿宋" w:hAnsi="仿宋" w:eastAsia="仿宋"/>
        </w:rPr>
        <w:t>21年开设的实验项目总数有94个，实验中心接待的学生总数为2086人，总人时数40150。</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（二）人才培养成效评价等。</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依托建筑行业，以实践创新能力培养为核心，以实验+课程设计+生产实习+工程实训+毕业实习+毕业设计为主线，保证实践教学内容的先进性、系统性。</w:t>
      </w:r>
      <w:r>
        <w:rPr>
          <w:rFonts w:ascii="仿宋" w:hAnsi="仿宋" w:eastAsia="仿宋" w:cs="宋体"/>
          <w:kern w:val="0"/>
        </w:rPr>
        <w:t>由于实验教学系统与工程实际系统接近，增强了学生对实验的兴趣和主动性，提高了学生的动手和工程实践能力</w:t>
      </w:r>
      <w:r>
        <w:rPr>
          <w:rFonts w:hint="eastAsia" w:ascii="仿宋" w:hAnsi="仿宋" w:eastAsia="仿宋" w:cs="宋体"/>
          <w:kern w:val="0"/>
        </w:rPr>
        <w:t>。</w:t>
      </w:r>
      <w:r>
        <w:rPr>
          <w:rFonts w:ascii="仿宋" w:hAnsi="仿宋" w:eastAsia="仿宋" w:cs="宋体"/>
          <w:kern w:val="0"/>
        </w:rPr>
        <w:t>近几年，毕业生受到用人单位的认同和欢迎</w:t>
      </w:r>
      <w:r>
        <w:rPr>
          <w:rFonts w:hint="eastAsia" w:ascii="仿宋" w:hAnsi="仿宋" w:eastAsia="仿宋" w:cs="宋体"/>
          <w:kern w:val="0"/>
        </w:rPr>
        <w:t>。</w:t>
      </w:r>
    </w:p>
    <w:p>
      <w:pPr>
        <w:widowControl/>
        <w:topLinePunct/>
        <w:spacing w:line="360" w:lineRule="auto"/>
        <w:ind w:firstLine="480" w:firstLineChars="200"/>
        <w:outlineLvl w:val="0"/>
        <w:rPr>
          <w:rFonts w:ascii="仿宋" w:hAnsi="仿宋" w:eastAsia="仿宋" w:cs="仿宋_GB2312"/>
          <w:sz w:val="28"/>
          <w:szCs w:val="28"/>
        </w:rPr>
      </w:pPr>
      <w:r>
        <w:rPr>
          <w:rFonts w:ascii="仿宋" w:hAnsi="仿宋" w:eastAsia="仿宋" w:cs="宋体"/>
          <w:kern w:val="0"/>
        </w:rPr>
        <w:t>实践能力的提高也增强了学生参加国内各种竞赛积极性，在每年全国和</w:t>
      </w:r>
      <w:r>
        <w:rPr>
          <w:rFonts w:hint="eastAsia" w:ascii="仿宋" w:hAnsi="仿宋" w:eastAsia="仿宋" w:cs="宋体"/>
          <w:kern w:val="0"/>
        </w:rPr>
        <w:t>天津市</w:t>
      </w:r>
      <w:r>
        <w:rPr>
          <w:rFonts w:ascii="仿宋" w:hAnsi="仿宋" w:eastAsia="仿宋" w:cs="宋体"/>
          <w:kern w:val="0"/>
        </w:rPr>
        <w:t>组织的数学建摸、</w:t>
      </w:r>
      <w:r>
        <w:rPr>
          <w:rFonts w:hint="eastAsia" w:ascii="仿宋" w:hAnsi="仿宋" w:eastAsia="仿宋" w:cs="宋体"/>
          <w:kern w:val="0"/>
        </w:rPr>
        <w:t>挑战杯、</w:t>
      </w:r>
      <w:r>
        <w:rPr>
          <w:rFonts w:ascii="仿宋" w:hAnsi="仿宋" w:eastAsia="仿宋" w:cs="宋体"/>
          <w:kern w:val="0"/>
        </w:rPr>
        <w:t>电子设计竞赛</w:t>
      </w:r>
      <w:r>
        <w:rPr>
          <w:rFonts w:hint="eastAsia" w:ascii="仿宋" w:hAnsi="仿宋" w:eastAsia="仿宋" w:cs="宋体"/>
          <w:kern w:val="0"/>
        </w:rPr>
        <w:t>、单片机竞赛和智能建筑工程实践技能竞赛</w:t>
      </w:r>
      <w:r>
        <w:rPr>
          <w:rFonts w:ascii="仿宋" w:hAnsi="仿宋" w:eastAsia="仿宋" w:cs="宋体"/>
          <w:kern w:val="0"/>
        </w:rPr>
        <w:t>等项目上都获得较高名次，取得优良成绩。</w:t>
      </w:r>
      <w:r>
        <w:rPr>
          <w:rFonts w:hint="eastAsia" w:ascii="仿宋" w:hAnsi="仿宋" w:eastAsia="仿宋" w:cs="宋体"/>
          <w:kern w:val="0"/>
        </w:rPr>
        <w:t>2021年参加各类大赛1000余人次，获省部级以上奖励14项。</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（一）队伍建设基本情况。</w:t>
      </w:r>
    </w:p>
    <w:p>
      <w:pPr>
        <w:spacing w:line="360" w:lineRule="auto"/>
        <w:ind w:firstLine="480" w:firstLineChars="200"/>
        <w:rPr>
          <w:rFonts w:ascii="仿宋" w:hAnsi="仿宋" w:eastAsia="仿宋" w:cs="宋体"/>
          <w:kern w:val="0"/>
        </w:rPr>
      </w:pPr>
      <w:r>
        <w:rPr>
          <w:rFonts w:ascii="仿宋" w:hAnsi="仿宋" w:eastAsia="仿宋" w:cs="宋体"/>
          <w:kern w:val="0"/>
        </w:rPr>
        <w:t>实验教学队伍教风优良，治学严谨，勇于探索和创新</w:t>
      </w:r>
      <w:r>
        <w:rPr>
          <w:rFonts w:hint="eastAsia" w:ascii="仿宋" w:hAnsi="仿宋" w:eastAsia="仿宋" w:cs="宋体"/>
          <w:kern w:val="0"/>
        </w:rPr>
        <w:t>，</w:t>
      </w:r>
      <w:r>
        <w:rPr>
          <w:rFonts w:ascii="仿宋" w:hAnsi="仿宋" w:eastAsia="仿宋" w:cs="宋体"/>
          <w:kern w:val="0"/>
        </w:rPr>
        <w:t>教学科研创新能力强，</w:t>
      </w:r>
      <w:r>
        <w:rPr>
          <w:rFonts w:hint="eastAsia" w:ascii="仿宋" w:hAnsi="仿宋" w:eastAsia="仿宋" w:cs="宋体"/>
          <w:kern w:val="0"/>
        </w:rPr>
        <w:t>并能将科研成果应用于教学，对理论教学和实践教学都起到了很大的推动作用。</w:t>
      </w:r>
    </w:p>
    <w:p>
      <w:pPr>
        <w:spacing w:line="360" w:lineRule="auto"/>
        <w:ind w:firstLine="480" w:firstLineChars="200"/>
        <w:rPr>
          <w:rFonts w:ascii="仿宋" w:hAnsi="仿宋" w:eastAsia="仿宋" w:cs="宋体"/>
          <w:kern w:val="0"/>
        </w:rPr>
      </w:pPr>
      <w:r>
        <w:rPr>
          <w:rFonts w:hint="eastAsia" w:ascii="仿宋" w:hAnsi="仿宋" w:eastAsia="仿宋" w:cs="宋体"/>
          <w:kern w:val="0"/>
        </w:rPr>
        <w:t>实验中心设中心主任</w:t>
      </w:r>
      <w:r>
        <w:rPr>
          <w:rFonts w:ascii="仿宋" w:hAnsi="仿宋" w:eastAsia="仿宋" w:cs="宋体"/>
          <w:kern w:val="0"/>
        </w:rPr>
        <w:t>1</w:t>
      </w:r>
      <w:r>
        <w:rPr>
          <w:rFonts w:hint="eastAsia" w:ascii="仿宋" w:hAnsi="仿宋" w:eastAsia="仿宋" w:cs="宋体"/>
          <w:kern w:val="0"/>
        </w:rPr>
        <w:t>名，专职固定教师8人，兼职教师29人。实验队伍中，具有高级职称的人员所占比例为46.2</w:t>
      </w:r>
      <w:r>
        <w:rPr>
          <w:rFonts w:ascii="仿宋" w:hAnsi="仿宋" w:eastAsia="仿宋" w:cs="宋体"/>
          <w:kern w:val="0"/>
        </w:rPr>
        <w:t>%</w:t>
      </w:r>
      <w:r>
        <w:rPr>
          <w:rFonts w:hint="eastAsia" w:ascii="仿宋" w:hAnsi="仿宋" w:eastAsia="仿宋" w:cs="宋体"/>
          <w:kern w:val="0"/>
        </w:rPr>
        <w:t>，具有博士学位的人员所占比例为61.9</w:t>
      </w:r>
      <w:r>
        <w:rPr>
          <w:rFonts w:ascii="仿宋" w:hAnsi="仿宋" w:eastAsia="仿宋" w:cs="宋体"/>
          <w:kern w:val="0"/>
        </w:rPr>
        <w:t>%</w:t>
      </w:r>
      <w:r>
        <w:rPr>
          <w:rFonts w:hint="eastAsia" w:ascii="仿宋" w:hAnsi="仿宋" w:eastAsia="仿宋" w:cs="宋体"/>
          <w:kern w:val="0"/>
        </w:rPr>
        <w:t>。</w:t>
      </w:r>
    </w:p>
    <w:p>
      <w:pPr>
        <w:spacing w:line="360" w:lineRule="auto"/>
        <w:ind w:firstLine="480" w:firstLineChars="200"/>
        <w:rPr>
          <w:rFonts w:ascii="仿宋" w:hAnsi="仿宋" w:eastAsia="仿宋" w:cs="宋体"/>
          <w:kern w:val="0"/>
        </w:rPr>
      </w:pPr>
      <w:r>
        <w:rPr>
          <w:rFonts w:hint="eastAsia" w:ascii="仿宋" w:hAnsi="仿宋" w:eastAsia="仿宋" w:cs="宋体"/>
          <w:kern w:val="0"/>
        </w:rPr>
        <w:t>专、兼职教师职责明确，专职固定教师负责实验室安全运行、实验教学改革、创新实验项目开发、教学与科研保障、仪器设备管理、中心信息化建设等工作，同时承担本科理论和实验教学工作。兼职教师从事理论教学，承担着部分实验教学任务和创新实验。</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（二）队伍建设的举措与取得的成绩等。</w:t>
      </w:r>
    </w:p>
    <w:p>
      <w:pPr>
        <w:widowControl/>
        <w:topLinePunct/>
        <w:spacing w:line="360" w:lineRule="auto"/>
        <w:ind w:firstLine="480" w:firstLineChars="200"/>
        <w:outlineLvl w:val="0"/>
        <w:rPr>
          <w:rFonts w:ascii="仿宋" w:hAnsi="仿宋" w:eastAsia="仿宋"/>
        </w:rPr>
      </w:pPr>
      <w:r>
        <w:rPr>
          <w:rFonts w:hint="eastAsia" w:ascii="仿宋" w:hAnsi="仿宋" w:eastAsia="仿宋" w:cs="宋体"/>
          <w:kern w:val="0"/>
        </w:rPr>
        <w:t>1、为提高教师实践能力，中心鼓励教师个人制定锻炼计划。通过引进与自主培养相结合的方法，加强实验教师队伍的建设，</w:t>
      </w:r>
      <w:r>
        <w:rPr>
          <w:rFonts w:hint="eastAsia" w:ascii="仿宋" w:hAnsi="仿宋" w:eastAsia="仿宋"/>
        </w:rPr>
        <w:t>建立一支结构合理、稳定的实验技术队伍。</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 xml:space="preserve">2、对急需的高水平人才，加大引进的力度，并为其创造良好的工作条件。2021年引进博士1名；同时，在现有专业教师中选拔、培养、聘请一批学科、学术带头人、技术骨干充实实验队伍，提高和调整“双师型”教师的比例和结构。  </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3、实验室建设与管理人员在实验室建设中取得的突出贡献和取得的突出建设成果，在教师的考核和职称评审方面，更加重视教师工程实践水平与成果评价。加大了教师对于横向课题参与评价的权重。同时，将教师为社会的服务情况列入考核要求。</w:t>
      </w:r>
    </w:p>
    <w:p>
      <w:pPr>
        <w:widowControl/>
        <w:topLinePunct/>
        <w:spacing w:line="360" w:lineRule="auto"/>
        <w:ind w:firstLine="480" w:firstLineChars="200"/>
        <w:outlineLvl w:val="0"/>
        <w:rPr>
          <w:rFonts w:ascii="仿宋" w:hAnsi="仿宋" w:eastAsia="仿宋" w:cs="宋体"/>
          <w:kern w:val="0"/>
        </w:rPr>
      </w:pPr>
      <w:r>
        <w:rPr>
          <w:rFonts w:hint="eastAsia" w:ascii="仿宋" w:hAnsi="仿宋" w:eastAsia="仿宋" w:cs="宋体"/>
          <w:kern w:val="0"/>
        </w:rPr>
        <w:t xml:space="preserve">4、制订实验技术人员的培训计划和进修计划，按“双师型”的标准，紧密围绕工程实践，校企结合，使教师培训制度化。 </w:t>
      </w:r>
    </w:p>
    <w:p>
      <w:pPr>
        <w:pStyle w:val="3"/>
        <w:snapToGrid w:val="0"/>
        <w:spacing w:after="0" w:line="360" w:lineRule="auto"/>
        <w:ind w:firstLine="480" w:firstLineChars="200"/>
        <w:rPr>
          <w:rFonts w:ascii="仿宋" w:hAnsi="仿宋" w:eastAsia="仿宋" w:cs="仿宋_GB2312"/>
          <w:sz w:val="28"/>
          <w:szCs w:val="28"/>
        </w:rPr>
      </w:pPr>
      <w:r>
        <w:rPr>
          <w:rFonts w:hint="eastAsia" w:ascii="仿宋" w:hAnsi="仿宋" w:eastAsia="仿宋" w:cs="宋体"/>
          <w:kern w:val="0"/>
          <w:sz w:val="24"/>
        </w:rPr>
        <w:t>5、采用送出去培训、请进来讲座的办法，让实验教学人员了解最新实验技术和实验手段。实验中心教师</w:t>
      </w:r>
      <w:r>
        <w:rPr>
          <w:rFonts w:ascii="仿宋" w:hAnsi="仿宋" w:eastAsia="仿宋" w:cs="宋体"/>
          <w:kern w:val="0"/>
          <w:sz w:val="24"/>
        </w:rPr>
        <w:t>广泛参与国内外同行交流</w:t>
      </w:r>
      <w:r>
        <w:rPr>
          <w:rFonts w:hint="eastAsia" w:ascii="仿宋" w:hAnsi="仿宋" w:eastAsia="仿宋" w:cs="宋体"/>
          <w:kern w:val="0"/>
          <w:sz w:val="24"/>
        </w:rPr>
        <w:t>，与清华大学、天津大学等著名国内高校及澳大利亚皇家墨尔本理工学院、新南威尔士大学、新加坡国立大学、南洋理工大学等国外高校保持长期的合作关系。与多个设计院、建筑公司、霍尼韦尔、西门子等公司保持长期的技术交流。</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（一）教学改革立项、进展、完成等情况。</w:t>
      </w:r>
    </w:p>
    <w:p>
      <w:pPr>
        <w:spacing w:line="360" w:lineRule="auto"/>
        <w:ind w:firstLine="480" w:firstLineChars="200"/>
        <w:rPr>
          <w:rFonts w:ascii="仿宋" w:hAnsi="仿宋" w:eastAsia="仿宋" w:cs="仿宋_GB2312"/>
        </w:rPr>
      </w:pPr>
      <w:r>
        <w:rPr>
          <w:rFonts w:hint="eastAsia" w:ascii="仿宋" w:hAnsi="仿宋" w:eastAsia="仿宋" w:cs="仿宋_GB2312"/>
        </w:rPr>
        <w:t>实验中心人员获批教育部协同育人项目1项；市级一流建设课程1项，校级一流建设课程3项；校级教学成果一等奖1项；校级青年教师基本功竞赛一等奖1项，多媒体竞赛二等奖1项，思政课程优秀奖1项；建筑电气与智能化教学指导委员会优秀毕业设计19项，校级优秀毕业设计14项，校级优秀毕业设计指导教师3人；发表教改论文2篇。</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（二）科学研究等情况。</w:t>
      </w:r>
    </w:p>
    <w:p>
      <w:pPr>
        <w:spacing w:line="360" w:lineRule="auto"/>
        <w:ind w:firstLine="480" w:firstLineChars="200"/>
        <w:rPr>
          <w:rFonts w:ascii="仿宋" w:hAnsi="仿宋" w:eastAsia="仿宋" w:cs="仿宋_GB2312"/>
        </w:rPr>
      </w:pPr>
      <w:r>
        <w:rPr>
          <w:rFonts w:hint="eastAsia" w:ascii="仿宋" w:hAnsi="仿宋" w:eastAsia="仿宋"/>
        </w:rPr>
        <w:t>中心成员发挥科研优势，2021年获批国家级课题立项1项，省部级课题立项1项，立项横向课题9项；发表论文16篇，其中S</w:t>
      </w:r>
      <w:r>
        <w:rPr>
          <w:rFonts w:ascii="仿宋" w:hAnsi="仿宋" w:eastAsia="仿宋"/>
        </w:rPr>
        <w:t>CI</w:t>
      </w:r>
      <w:r>
        <w:rPr>
          <w:rFonts w:hint="eastAsia" w:ascii="仿宋" w:hAnsi="仿宋" w:eastAsia="仿宋"/>
        </w:rPr>
        <w:t>期刊一区论文2篇，二区2篇，三区3篇，四区5篇，EI1篇，CSCD1篇，其他4篇；授权发明专利2件，实用新型专利20件，授权软件著作权19件。</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widowControl/>
        <w:spacing w:line="360" w:lineRule="auto"/>
        <w:ind w:firstLine="480" w:firstLineChars="200"/>
        <w:rPr>
          <w:rFonts w:ascii="仿宋" w:hAnsi="仿宋" w:eastAsia="仿宋" w:cs="宋体"/>
          <w:kern w:val="0"/>
          <w:szCs w:val="22"/>
        </w:rPr>
      </w:pPr>
      <w:r>
        <w:rPr>
          <w:rFonts w:hint="eastAsia" w:ascii="仿宋" w:hAnsi="仿宋" w:eastAsia="仿宋" w:cs="宋体"/>
          <w:kern w:val="0"/>
          <w:szCs w:val="22"/>
        </w:rPr>
        <w:t>实验教学中心建有较为丰富的网络实验教学资源，能满足我校学生的实验教学，另外还依托学校网络教学系统和精品课程网，实验教学中心还建立了教学资源平台，极大地丰富了实验教学网络资源，主要包括以下内容：开设课程和项目、教学大纲、多媒体课件、中心设备、师资队伍、规章制度、实验室功能介绍、精品课程、习题、仿真实验、网络答疑、数字化课程。</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szCs w:val="22"/>
        </w:rPr>
        <w:t>受疫情影响，2021年实验教学中心除在原有的网络实验教学资源基础上，还依托学校网络教学平台（学习通），建立了多门在线实验教学课程，极大地丰富了实验教学网络资源，很好地完成了特殊时期的实验教学任务。在线实验教学的开展主要包括以下内容：在线课程建立、在线实验项目开发、多媒体课件制作、实验项目讲解视频的录制、操作过程的实时录制、网络答疑、在线提交实验结果等。</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 xml:space="preserve">实验教学中心建有独立的网站，主要实现以下功能： </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1、实验教学中心介绍和宣传</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主要包括实验教学中心的总体概况、实验教学条件、实验师资队伍、体制与管理、仪器设备环境和特色及发展规划等信息。</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2、信息发布</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 xml:space="preserve">发布实验教学中心的教学、大赛、考证等通知公告以及实验教学相关新闻和规章制度等信息。 </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3、教学成果展示</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发布教学改革项目、实验教学成果、实验教学改革论文、实验教材、大赛、学生获奖情况等教学成果信息。</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rPr>
        <w:t>4、其它资源</w:t>
      </w:r>
    </w:p>
    <w:p>
      <w:pPr>
        <w:spacing w:line="360" w:lineRule="auto"/>
        <w:ind w:firstLine="480" w:firstLineChars="200"/>
        <w:rPr>
          <w:rFonts w:ascii="仿宋" w:hAnsi="仿宋" w:eastAsia="仿宋" w:cs="宋体"/>
          <w:kern w:val="0"/>
        </w:rPr>
      </w:pPr>
      <w:r>
        <w:rPr>
          <w:rFonts w:hint="eastAsia" w:ascii="仿宋" w:hAnsi="仿宋" w:eastAsia="仿宋" w:cs="宋体"/>
          <w:kern w:val="0"/>
        </w:rPr>
        <w:t>主要包括实验中心自建实验教学资源、网络实验教学资源等。</w:t>
      </w:r>
    </w:p>
    <w:p>
      <w:pPr>
        <w:widowControl/>
        <w:spacing w:line="360" w:lineRule="auto"/>
        <w:ind w:firstLine="480" w:firstLineChars="200"/>
        <w:rPr>
          <w:rFonts w:ascii="仿宋" w:hAnsi="仿宋" w:eastAsia="仿宋" w:cs="宋体"/>
          <w:kern w:val="0"/>
        </w:rPr>
      </w:pPr>
      <w:r>
        <w:rPr>
          <w:rFonts w:hint="eastAsia" w:ascii="仿宋" w:hAnsi="仿宋" w:eastAsia="仿宋" w:cs="宋体"/>
          <w:kern w:val="0"/>
          <w:szCs w:val="22"/>
        </w:rPr>
        <w:t>受疫情影响，2021年实验教学中心除在原有的网络实验教学资源基础上，还依托学校网络教学平台（学习通），建立了多门在线实验教学课程，极大地丰富了实验教学网络资源，很好地完成了特殊时期的实验教学任务。在线实验教学的开展主要包括以下内容：在线课程建立、在线实验项目开发、多媒体课件制作、实验项目讲解视频录制、操作过程实时录制、网络答疑、在线提交实验结果等，对疫情期间的教学起到重要的作用。</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（二）开放运行、安全运行等情况。</w:t>
      </w:r>
    </w:p>
    <w:p>
      <w:pPr>
        <w:spacing w:line="360" w:lineRule="auto"/>
        <w:ind w:firstLine="480" w:firstLineChars="200"/>
        <w:rPr>
          <w:rFonts w:ascii="仿宋" w:hAnsi="仿宋" w:eastAsia="仿宋" w:cs="仿宋_GB2312"/>
        </w:rPr>
      </w:pPr>
      <w:r>
        <w:rPr>
          <w:rFonts w:hint="eastAsia" w:ascii="仿宋" w:hAnsi="仿宋" w:eastAsia="仿宋" w:cs="宋体"/>
          <w:kern w:val="0"/>
        </w:rPr>
        <w:t>致力于充分发挥实验中心的资源优势。完善实验中心开放管理制度，面向开展创新与科研实验的学生全面开放，利用开放管理群实现管理信息有效沟通。所有实验室工作日全部对外开放，并制定了严格的开放运行管理流程，做到“开放前项目审核、开放中监督管理、开放后成效归档”的全过程把控。</w:t>
      </w:r>
    </w:p>
    <w:p>
      <w:pPr>
        <w:spacing w:line="360" w:lineRule="auto"/>
        <w:ind w:firstLine="480" w:firstLineChars="200"/>
        <w:rPr>
          <w:rFonts w:ascii="仿宋" w:hAnsi="仿宋" w:eastAsia="仿宋" w:cs="仿宋_GB2312"/>
        </w:rPr>
      </w:pPr>
      <w:r>
        <w:rPr>
          <w:rFonts w:hint="eastAsia" w:ascii="仿宋" w:hAnsi="仿宋" w:eastAsia="仿宋" w:cs="仿宋_GB2312"/>
        </w:rPr>
        <w:t>实验中心在每个教学班级进入实验课堂之前，均会进行安全教育；每天实验室负责人进行其负责实验室的安全检查；每双周实验中心主任进行所有实验室的安全检查。</w:t>
      </w:r>
    </w:p>
    <w:p>
      <w:pPr>
        <w:spacing w:line="360" w:lineRule="auto"/>
        <w:ind w:firstLine="482"/>
        <w:rPr>
          <w:rFonts w:ascii="仿宋" w:hAnsi="仿宋" w:eastAsia="仿宋"/>
          <w:shd w:val="clear" w:color="auto" w:fill="FFFFFF"/>
        </w:rPr>
      </w:pPr>
      <w:r>
        <w:rPr>
          <w:rFonts w:hint="eastAsia" w:ascii="仿宋" w:hAnsi="仿宋" w:eastAsia="仿宋"/>
          <w:shd w:val="clear" w:color="auto" w:fill="FFFFFF"/>
        </w:rPr>
        <w:t>在2021年中，实验中心仍然继续注意保证实验室用电安全，定期进行安全隐患排查和安全检查。除此之外，疫情期间，考虑到电学专业实验设备的使用和维护特点，示范中心配备了紫外线消毒灯，教师按需定期对使用中的实验室进行消杀，以确保人员和设备安全。实验室配备了免洗酒精凝露，学生进入实验室前需使用免洗酒精凝露进行手部消毒，且学生进入实验中心必须佩戴口罩。为提醒学生在复课后也不能放松警惕，实验中心特别制作了实验安全和防疫安全的调查问卷，并要求全部学生在进入实验室前完成安全问卷的学习。</w:t>
      </w:r>
    </w:p>
    <w:p>
      <w:pPr>
        <w:spacing w:line="360" w:lineRule="auto"/>
        <w:ind w:firstLine="482"/>
        <w:rPr>
          <w:rFonts w:ascii="仿宋" w:hAnsi="仿宋" w:eastAsia="仿宋"/>
          <w:shd w:val="clear" w:color="auto" w:fill="FFFFFF"/>
        </w:rPr>
      </w:pPr>
    </w:p>
    <w:p>
      <w:pPr>
        <w:spacing w:line="360" w:lineRule="auto"/>
        <w:ind w:firstLine="482"/>
      </w:pPr>
      <w:r>
        <w:rPr>
          <w:rFonts w:ascii="仿宋" w:hAnsi="仿宋" w:eastAsia="仿宋"/>
          <w:shd w:val="clear" w:color="auto" w:fill="FFFFFF"/>
        </w:rPr>
        <w:drawing>
          <wp:inline distT="0" distB="0" distL="114300" distR="114300">
            <wp:extent cx="1808480" cy="3018790"/>
            <wp:effectExtent l="0" t="0" r="7620" b="3810"/>
            <wp:docPr id="13" name="图片 13" descr="2021安全防疫问答 二维码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1安全防疫问答 二维码海报"/>
                    <pic:cNvPicPr>
                      <a:picLocks noChangeAspect="1"/>
                    </pic:cNvPicPr>
                  </pic:nvPicPr>
                  <pic:blipFill>
                    <a:blip r:embed="rId4"/>
                    <a:stretch>
                      <a:fillRect/>
                    </a:stretch>
                  </pic:blipFill>
                  <pic:spPr>
                    <a:xfrm>
                      <a:off x="0" y="0"/>
                      <a:ext cx="1808480" cy="3018790"/>
                    </a:xfrm>
                    <a:prstGeom prst="rect">
                      <a:avLst/>
                    </a:prstGeom>
                  </pic:spPr>
                </pic:pic>
              </a:graphicData>
            </a:graphic>
          </wp:inline>
        </w:drawing>
      </w:r>
      <w:r>
        <w:drawing>
          <wp:inline distT="0" distB="0" distL="114300" distR="114300">
            <wp:extent cx="3003550" cy="2996565"/>
            <wp:effectExtent l="0" t="0" r="635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rcRect l="29781" t="23468" r="32240" b="9173"/>
                    <a:stretch>
                      <a:fillRect/>
                    </a:stretch>
                  </pic:blipFill>
                  <pic:spPr>
                    <a:xfrm>
                      <a:off x="0" y="0"/>
                      <a:ext cx="3003550" cy="2996565"/>
                    </a:xfrm>
                    <a:prstGeom prst="rect">
                      <a:avLst/>
                    </a:prstGeom>
                    <a:noFill/>
                    <a:ln>
                      <a:noFill/>
                    </a:ln>
                  </pic:spPr>
                </pic:pic>
              </a:graphicData>
            </a:graphic>
          </wp:inline>
        </w:drawing>
      </w:r>
    </w:p>
    <w:p>
      <w:pPr>
        <w:spacing w:line="360" w:lineRule="auto"/>
        <w:ind w:firstLine="480" w:firstLineChars="200"/>
        <w:rPr>
          <w:rFonts w:ascii="仿宋" w:hAnsi="仿宋" w:eastAsia="仿宋" w:cs="仿宋_GB2312"/>
        </w:rPr>
      </w:pPr>
      <w:r>
        <w:rPr>
          <w:rFonts w:hint="eastAsia" w:ascii="仿宋" w:hAnsi="仿宋" w:eastAsia="仿宋" w:cs="仿宋_GB2312"/>
        </w:rPr>
        <w:t>在全面安全教育和安全检查的基础上，实验中心2021年实现了全年的安全运行。</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（三）对外交流合作、发挥示范引领、支持中西部高校实验教学改革等情况。</w:t>
      </w:r>
    </w:p>
    <w:p>
      <w:pPr>
        <w:spacing w:line="360" w:lineRule="auto"/>
        <w:ind w:firstLine="482"/>
        <w:rPr>
          <w:rFonts w:ascii="仿宋" w:hAnsi="仿宋" w:eastAsia="仿宋"/>
          <w:shd w:val="clear" w:color="auto" w:fill="FFFFFF"/>
        </w:rPr>
      </w:pPr>
      <w:r>
        <w:rPr>
          <w:rFonts w:hint="eastAsia" w:ascii="仿宋" w:hAnsi="仿宋" w:eastAsia="仿宋"/>
          <w:shd w:val="clear" w:color="auto" w:fill="FFFFFF"/>
        </w:rPr>
        <w:t>1、2021年1月21日，实验中心王首彬教授一行走进天津鲲鹏生态创新中心，共话鲲鹏计算产业生态。实验中心与鲲鹏创新中心负责人就鲲鹏生态计算产业、联合方案、合作伙伴计划等进行沟通探讨。</w:t>
      </w:r>
    </w:p>
    <w:p>
      <w:pPr>
        <w:spacing w:line="360" w:lineRule="auto"/>
        <w:ind w:firstLine="482"/>
        <w:jc w:val="center"/>
        <w:rPr>
          <w:rFonts w:ascii="仿宋" w:hAnsi="仿宋" w:eastAsia="仿宋"/>
          <w:shd w:val="clear" w:color="auto" w:fill="FFFFFF"/>
        </w:rPr>
      </w:pPr>
      <w:r>
        <w:drawing>
          <wp:inline distT="0" distB="0" distL="0" distR="0">
            <wp:extent cx="3749040" cy="2811145"/>
            <wp:effectExtent l="0" t="0" r="0" b="0"/>
            <wp:docPr id="10" name="图片 10" descr="http://pic.enorth.com.cn/005/011/985/00501198522_2cd50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pic.enorth.com.cn/005/011/985/00501198522_2cd501f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49299" cy="2811774"/>
                    </a:xfrm>
                    <a:prstGeom prst="rect">
                      <a:avLst/>
                    </a:prstGeom>
                    <a:noFill/>
                    <a:ln>
                      <a:noFill/>
                    </a:ln>
                  </pic:spPr>
                </pic:pic>
              </a:graphicData>
            </a:graphic>
          </wp:inline>
        </w:drawing>
      </w:r>
    </w:p>
    <w:p>
      <w:pPr>
        <w:spacing w:line="360" w:lineRule="auto"/>
        <w:ind w:firstLine="480" w:firstLineChars="200"/>
        <w:rPr>
          <w:rFonts w:hint="eastAsia" w:ascii="仿宋" w:hAnsi="仿宋" w:eastAsia="仿宋"/>
          <w:shd w:val="clear" w:color="auto" w:fill="FFFFFF"/>
        </w:rPr>
      </w:pPr>
    </w:p>
    <w:p>
      <w:pPr>
        <w:spacing w:line="360" w:lineRule="auto"/>
        <w:ind w:firstLine="480" w:firstLineChars="200"/>
        <w:rPr>
          <w:rFonts w:ascii="仿宋" w:hAnsi="仿宋" w:eastAsia="仿宋"/>
          <w:shd w:val="clear" w:color="auto" w:fill="FFFFFF"/>
        </w:rPr>
      </w:pPr>
      <w:r>
        <w:rPr>
          <w:rFonts w:hint="eastAsia" w:ascii="仿宋" w:hAnsi="仿宋" w:eastAsia="仿宋"/>
          <w:shd w:val="clear" w:color="auto" w:fill="FFFFFF"/>
        </w:rPr>
        <w:t>2、2021年3月19日，实验中心王首彬教授一行走访了天津滨海高新区施耐德万高（天津）电气设备有限公司和天津安捷物联科技股份有限公司，就产学研合作等相关事宜进行探讨。</w:t>
      </w:r>
    </w:p>
    <w:p>
      <w:pPr>
        <w:spacing w:line="360" w:lineRule="auto"/>
        <w:ind w:firstLine="480" w:firstLineChars="200"/>
        <w:jc w:val="center"/>
        <w:rPr>
          <w:rFonts w:ascii="仿宋" w:hAnsi="仿宋" w:eastAsia="仿宋" w:cs="仿宋_GB2312"/>
        </w:rPr>
      </w:pPr>
      <w:r>
        <w:rPr>
          <w:rFonts w:ascii="仿宋" w:hAnsi="仿宋" w:eastAsia="仿宋" w:cs="仿宋_GB2312"/>
        </w:rPr>
        <w:drawing>
          <wp:inline distT="0" distB="0" distL="0" distR="0">
            <wp:extent cx="3660775" cy="2745105"/>
            <wp:effectExtent l="0" t="0" r="0" b="0"/>
            <wp:docPr id="12" name="图片 12" descr="C:\Users\ThinkPad\AppData\Local\Temp\WeChat Files\05a775ac130cfc3460edacc33a01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hinkPad\AppData\Local\Temp\WeChat Files\05a775ac130cfc3460edacc33a01c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660892" cy="2745330"/>
                    </a:xfrm>
                    <a:prstGeom prst="rect">
                      <a:avLst/>
                    </a:prstGeom>
                    <a:noFill/>
                    <a:ln>
                      <a:noFill/>
                    </a:ln>
                  </pic:spPr>
                </pic:pic>
              </a:graphicData>
            </a:graphic>
          </wp:inline>
        </w:drawing>
      </w:r>
    </w:p>
    <w:p>
      <w:pPr>
        <w:spacing w:line="360" w:lineRule="auto"/>
        <w:ind w:firstLine="480" w:firstLineChars="200"/>
        <w:jc w:val="center"/>
        <w:rPr>
          <w:rFonts w:ascii="仿宋" w:hAnsi="仿宋" w:eastAsia="仿宋" w:cs="仿宋_GB2312"/>
        </w:rPr>
      </w:pPr>
      <w:r>
        <w:rPr>
          <w:rFonts w:ascii="仿宋" w:hAnsi="仿宋" w:eastAsia="仿宋" w:cs="仿宋_GB2312"/>
        </w:rPr>
        <w:drawing>
          <wp:inline distT="0" distB="0" distL="0" distR="0">
            <wp:extent cx="3635375" cy="2726055"/>
            <wp:effectExtent l="0" t="0" r="0" b="0"/>
            <wp:docPr id="16" name="图片 16" descr="C:\Users\ThinkPad\AppData\Local\Temp\WeChat Files\b0d2725d0c0632efa8f775338fc8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ThinkPad\AppData\Local\Temp\WeChat Files\b0d2725d0c0632efa8f775338fc817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35606" cy="2726369"/>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_GB2312"/>
        </w:rPr>
      </w:pPr>
    </w:p>
    <w:p>
      <w:pPr>
        <w:spacing w:line="360" w:lineRule="auto"/>
        <w:ind w:firstLine="480" w:firstLineChars="200"/>
        <w:rPr>
          <w:rFonts w:ascii="仿宋" w:hAnsi="仿宋" w:eastAsia="仿宋" w:cs="仿宋_GB2312"/>
        </w:rPr>
      </w:pPr>
      <w:r>
        <w:rPr>
          <w:rFonts w:hint="eastAsia" w:ascii="仿宋" w:hAnsi="仿宋" w:eastAsia="仿宋" w:cs="仿宋_GB2312"/>
        </w:rPr>
        <w:t>3、2021年5月15日，苏刚教授一行走访了盈嘉互联(北京)科技有限公司，就BIM、数字孪生等问题洽谈产学研合作。</w:t>
      </w:r>
    </w:p>
    <w:p>
      <w:pPr>
        <w:spacing w:line="360" w:lineRule="auto"/>
        <w:ind w:firstLine="480" w:firstLineChars="200"/>
        <w:jc w:val="center"/>
        <w:rPr>
          <w:rFonts w:ascii="仿宋" w:hAnsi="仿宋" w:eastAsia="仿宋" w:cs="仿宋_GB2312"/>
        </w:rPr>
      </w:pPr>
      <w:r>
        <w:drawing>
          <wp:inline distT="0" distB="0" distL="0" distR="0">
            <wp:extent cx="3674110" cy="2755900"/>
            <wp:effectExtent l="0" t="0" r="0" b="0"/>
            <wp:docPr id="1" name="图片 1" descr="https://www.boswinner.com/Private/NewsImgs/20211103/637715583678735170855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boswinner.com/Private/NewsImgs/20211103/63771558367873517085575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75649" cy="2757416"/>
                    </a:xfrm>
                    <a:prstGeom prst="rect">
                      <a:avLst/>
                    </a:prstGeom>
                    <a:noFill/>
                    <a:ln>
                      <a:noFill/>
                    </a:ln>
                  </pic:spPr>
                </pic:pic>
              </a:graphicData>
            </a:graphic>
          </wp:inline>
        </w:drawing>
      </w:r>
    </w:p>
    <w:p>
      <w:pPr>
        <w:spacing w:line="360" w:lineRule="auto"/>
        <w:ind w:firstLine="480" w:firstLineChars="200"/>
        <w:jc w:val="center"/>
        <w:rPr>
          <w:rFonts w:ascii="仿宋" w:hAnsi="仿宋" w:eastAsia="仿宋"/>
          <w:shd w:val="clear" w:color="auto" w:fill="FFFFFF"/>
        </w:rPr>
      </w:pPr>
      <w:r>
        <w:drawing>
          <wp:inline distT="0" distB="0" distL="0" distR="0">
            <wp:extent cx="3362325" cy="2521585"/>
            <wp:effectExtent l="0" t="0" r="0" b="0"/>
            <wp:docPr id="2" name="图片 2" descr="https://bkimg.cdn.bcebos.com/pic/908fa0ec08fa513d2697517a2d3842fbb2fb431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bkimg.cdn.bcebos.com/pic/908fa0ec08fa513d2697517a2d3842fbb2fb431673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62893" cy="2522088"/>
                    </a:xfrm>
                    <a:prstGeom prst="rect">
                      <a:avLst/>
                    </a:prstGeom>
                    <a:noFill/>
                    <a:ln>
                      <a:noFill/>
                    </a:ln>
                  </pic:spPr>
                </pic:pic>
              </a:graphicData>
            </a:graphic>
          </wp:inline>
        </w:drawing>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五、示范中心大事记</w:t>
      </w:r>
    </w:p>
    <w:p>
      <w:pPr>
        <w:spacing w:line="360" w:lineRule="auto"/>
        <w:ind w:firstLine="482"/>
        <w:rPr>
          <w:rFonts w:ascii="仿宋" w:hAnsi="仿宋" w:eastAsia="仿宋"/>
          <w:shd w:val="clear" w:color="auto" w:fill="FFFFFF"/>
        </w:rPr>
      </w:pPr>
      <w:r>
        <w:rPr>
          <w:rFonts w:hint="eastAsia" w:ascii="仿宋" w:hAnsi="仿宋" w:eastAsia="仿宋"/>
          <w:shd w:val="clear" w:color="auto" w:fill="FFFFFF"/>
        </w:rPr>
        <w:t>1、2021年6月2日，在我实验示范中心联手广联达公司一同开展BIM软件revit和MagicCAD 2021配套族库软件的使用培训。我校控制与机械工程学院实验中心、自动化系、建筑智能化系的老师和学生参加该培训。</w:t>
      </w:r>
    </w:p>
    <w:p>
      <w:pPr>
        <w:spacing w:line="360" w:lineRule="auto"/>
        <w:ind w:firstLine="482"/>
        <w:rPr>
          <w:rFonts w:ascii="仿宋" w:hAnsi="仿宋" w:eastAsia="仿宋"/>
          <w:shd w:val="clear" w:color="auto" w:fill="FFFFFF"/>
        </w:rPr>
      </w:pPr>
      <w:r>
        <w:rPr>
          <w:rFonts w:hint="eastAsia" w:ascii="仿宋" w:hAnsi="仿宋" w:eastAsia="仿宋"/>
          <w:shd w:val="clear" w:color="auto" w:fill="FFFFFF"/>
        </w:rPr>
        <w:t>BIM 技术在设计中的运用将结构、机电与设备整合纳于同一3D几何模型中，可完成设计时各系统的碰撞干涉分析，预防工程未来可能发生问题，从而减少日后施工阶段变更设计问题，提高营建工程进行中的效率，并大量降低风险。BIM技术已经在全球范围内得到业界的广泛认可，作为以城市建设为特色的城建大学教师和学生，进行此类技术培训对于教师和学生的未来发展都很有益处，也为我学院开展基于BIM的虚拟仿真教学平台建设奠定了一定的基础。</w:t>
      </w:r>
    </w:p>
    <w:p>
      <w:pPr>
        <w:spacing w:line="360" w:lineRule="auto"/>
        <w:ind w:firstLine="482"/>
        <w:jc w:val="center"/>
        <w:rPr>
          <w:rFonts w:ascii="黑体" w:hAnsi="黑体" w:eastAsia="黑体" w:cs="仿宋_GB2312"/>
          <w:sz w:val="28"/>
          <w:szCs w:val="28"/>
        </w:rPr>
      </w:pPr>
      <w:r>
        <w:rPr>
          <w:rFonts w:hint="eastAsia" w:ascii="黑体" w:hAnsi="黑体" w:eastAsia="黑体" w:cs="仿宋_GB2312"/>
          <w:sz w:val="28"/>
          <w:szCs w:val="28"/>
        </w:rPr>
        <w:drawing>
          <wp:inline distT="0" distB="0" distL="114300" distR="114300">
            <wp:extent cx="3547745" cy="2661920"/>
            <wp:effectExtent l="0" t="0" r="0" b="0"/>
            <wp:docPr id="3" name="图片 3" descr="BIM培训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IM培训02"/>
                    <pic:cNvPicPr>
                      <a:picLocks noChangeAspect="1"/>
                    </pic:cNvPicPr>
                  </pic:nvPicPr>
                  <pic:blipFill>
                    <a:blip r:embed="rId11"/>
                    <a:stretch>
                      <a:fillRect/>
                    </a:stretch>
                  </pic:blipFill>
                  <pic:spPr>
                    <a:xfrm>
                      <a:off x="0" y="0"/>
                      <a:ext cx="3547493" cy="2661833"/>
                    </a:xfrm>
                    <a:prstGeom prst="rect">
                      <a:avLst/>
                    </a:prstGeom>
                  </pic:spPr>
                </pic:pic>
              </a:graphicData>
            </a:graphic>
          </wp:inline>
        </w:drawing>
      </w:r>
      <w:r>
        <w:rPr>
          <w:rFonts w:hint="eastAsia" w:ascii="黑体" w:hAnsi="黑体" w:eastAsia="黑体" w:cs="仿宋_GB2312"/>
          <w:sz w:val="28"/>
          <w:szCs w:val="28"/>
        </w:rPr>
        <w:t xml:space="preserve">  </w:t>
      </w:r>
      <w:r>
        <w:rPr>
          <w:rFonts w:hint="eastAsia" w:ascii="黑体" w:hAnsi="黑体" w:eastAsia="黑体" w:cs="仿宋_GB2312"/>
          <w:sz w:val="28"/>
          <w:szCs w:val="28"/>
        </w:rPr>
        <w:drawing>
          <wp:inline distT="0" distB="0" distL="114300" distR="114300">
            <wp:extent cx="3585845" cy="2691130"/>
            <wp:effectExtent l="0" t="0" r="0" b="0"/>
            <wp:docPr id="5" name="图片 5" descr="BIM培训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IM培训03"/>
                    <pic:cNvPicPr>
                      <a:picLocks noChangeAspect="1"/>
                    </pic:cNvPicPr>
                  </pic:nvPicPr>
                  <pic:blipFill>
                    <a:blip r:embed="rId12"/>
                    <a:stretch>
                      <a:fillRect/>
                    </a:stretch>
                  </pic:blipFill>
                  <pic:spPr>
                    <a:xfrm>
                      <a:off x="0" y="0"/>
                      <a:ext cx="3587508" cy="2692249"/>
                    </a:xfrm>
                    <a:prstGeom prst="rect">
                      <a:avLst/>
                    </a:prstGeom>
                  </pic:spPr>
                </pic:pic>
              </a:graphicData>
            </a:graphic>
          </wp:inline>
        </w:drawing>
      </w:r>
    </w:p>
    <w:p>
      <w:pPr>
        <w:spacing w:line="360" w:lineRule="auto"/>
        <w:ind w:firstLine="480" w:firstLineChars="200"/>
        <w:rPr>
          <w:rFonts w:ascii="仿宋" w:hAnsi="仿宋" w:eastAsia="仿宋"/>
          <w:kern w:val="0"/>
        </w:rPr>
      </w:pPr>
      <w:r>
        <w:rPr>
          <w:rFonts w:hint="eastAsia" w:ascii="仿宋" w:hAnsi="仿宋" w:eastAsia="仿宋" w:cs="仿宋_GB2312"/>
        </w:rPr>
        <w:t>2、2021年1月，在实验中心进行了</w:t>
      </w:r>
      <w:r>
        <w:rPr>
          <w:rFonts w:hint="eastAsia" w:ascii="仿宋" w:hAnsi="仿宋" w:eastAsia="仿宋"/>
        </w:rPr>
        <w:t>由天津城建大学</w:t>
      </w:r>
      <w:r>
        <w:rPr>
          <w:rFonts w:hint="eastAsia" w:ascii="仿宋" w:hAnsi="仿宋" w:eastAsia="仿宋"/>
          <w:kern w:val="0"/>
        </w:rPr>
        <w:t>校团委主办，控制与机械工程学院</w:t>
      </w:r>
      <w:r>
        <w:rPr>
          <w:rFonts w:hint="eastAsia" w:ascii="仿宋" w:hAnsi="仿宋" w:eastAsia="仿宋"/>
        </w:rPr>
        <w:t>承办举办的“第二届智能控制器应用设计（或智能小车）大赛”。</w:t>
      </w:r>
      <w:r>
        <w:rPr>
          <w:rFonts w:hint="eastAsia" w:ascii="仿宋" w:hAnsi="仿宋" w:eastAsia="仿宋"/>
          <w:kern w:val="0"/>
        </w:rPr>
        <w:t>。大赛经初赛作品征集、作品初评，从68组参赛作品中，选出24组优秀作品进入决赛。本次竞赛作品的形式以实物形式提交，现场演示说明作品的设计创意、设计过程、计算机技术应用等,并由评审组进行提问，当场评定成绩。最终决出一等奖3组，二等奖5组，三等奖7组，优秀奖9组。</w:t>
      </w:r>
    </w:p>
    <w:p>
      <w:pPr>
        <w:spacing w:line="360" w:lineRule="auto"/>
        <w:ind w:firstLine="640" w:firstLineChars="200"/>
        <w:jc w:val="center"/>
        <w:rPr>
          <w:rFonts w:ascii="仿宋_GB2312" w:hAnsi="宋体" w:eastAsia="仿宋_GB2312"/>
          <w:kern w:val="0"/>
          <w:sz w:val="32"/>
          <w:szCs w:val="32"/>
        </w:rPr>
      </w:pPr>
      <w:r>
        <w:rPr>
          <w:rFonts w:ascii="仿宋_GB2312" w:hAnsi="宋体" w:eastAsia="仿宋_GB2312"/>
          <w:kern w:val="0"/>
          <w:sz w:val="32"/>
          <w:szCs w:val="32"/>
        </w:rPr>
        <w:drawing>
          <wp:inline distT="0" distB="0" distL="0" distR="0">
            <wp:extent cx="3975100" cy="3168015"/>
            <wp:effectExtent l="0" t="0" r="0" b="0"/>
            <wp:docPr id="17" name="图片 17" descr="C:\Users\ThinkPad\Desktop\实验中心总结\新建文件夹\1a305efeb2db69ed6d61dec87f5b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hinkPad\Desktop\实验中心总结\新建文件夹\1a305efeb2db69ed6d61dec87f5b6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74158" cy="3167616"/>
                    </a:xfrm>
                    <a:prstGeom prst="rect">
                      <a:avLst/>
                    </a:prstGeom>
                    <a:noFill/>
                    <a:ln>
                      <a:noFill/>
                    </a:ln>
                  </pic:spPr>
                </pic:pic>
              </a:graphicData>
            </a:graphic>
          </wp:inline>
        </w:drawing>
      </w:r>
    </w:p>
    <w:p>
      <w:pPr>
        <w:spacing w:line="360" w:lineRule="auto"/>
        <w:ind w:firstLine="480" w:firstLineChars="200"/>
        <w:rPr>
          <w:rFonts w:ascii="仿宋" w:hAnsi="仿宋" w:eastAsia="仿宋"/>
        </w:rPr>
      </w:pPr>
      <w:r>
        <w:rPr>
          <w:rFonts w:hint="eastAsia" w:ascii="仿宋" w:hAnsi="仿宋" w:eastAsia="仿宋"/>
        </w:rPr>
        <w:t>3、</w:t>
      </w:r>
      <w:r>
        <w:rPr>
          <w:rFonts w:hint="eastAsia" w:ascii="仿宋" w:hAnsi="仿宋" w:eastAsia="仿宋"/>
          <w:kern w:val="0"/>
        </w:rPr>
        <w:t>202</w:t>
      </w:r>
      <w:r>
        <w:rPr>
          <w:rFonts w:hint="eastAsia" w:ascii="仿宋" w:hAnsi="仿宋" w:eastAsia="仿宋"/>
          <w:kern w:val="0"/>
          <w:lang w:val="en-US" w:eastAsia="zh-CN"/>
        </w:rPr>
        <w:t>1</w:t>
      </w:r>
      <w:r>
        <w:rPr>
          <w:rFonts w:hint="eastAsia" w:ascii="仿宋" w:hAnsi="仿宋" w:eastAsia="仿宋"/>
          <w:kern w:val="0"/>
        </w:rPr>
        <w:t>年4月21日由天津城建大学校团委主办，控制与机械工程学院承办的第二届电子产品装配与设计技能大赛决赛圆满落幕。参赛学生为控制与机械工程学院、计算机与信息工程学院、能源与安全工程学院、环境与市政工程学院、经济与管理学院等十余个专业、126组学生，涵盖了17级-20级的本科生，经初赛选拔共有28组作品进入决赛。因疫情原因，大赛在线上举行。</w:t>
      </w:r>
      <w:r>
        <w:rPr>
          <w:rFonts w:hint="eastAsia" w:ascii="仿宋" w:hAnsi="仿宋" w:eastAsia="仿宋"/>
        </w:rPr>
        <w:t>利用腾讯会议，采用视频汇报、评委提问、队员答辩的方式，由评委即时评定成绩。经过三个多小时的激烈角逐，最终评选出一等奖3组，二等奖5组，三等奖7组，优秀奖12组。</w:t>
      </w:r>
    </w:p>
    <w:p>
      <w:pPr>
        <w:widowControl/>
        <w:spacing w:before="100" w:beforeAutospacing="1" w:after="100" w:afterAutospacing="1" w:line="360" w:lineRule="atLeast"/>
        <w:ind w:firstLine="480" w:firstLineChars="200"/>
        <w:jc w:val="center"/>
        <w:rPr>
          <w:rFonts w:ascii="仿宋" w:hAnsi="仿宋" w:eastAsia="仿宋"/>
        </w:rPr>
      </w:pPr>
      <w:r>
        <w:rPr>
          <w:rFonts w:ascii="仿宋" w:hAnsi="仿宋" w:eastAsia="仿宋"/>
        </w:rPr>
        <w:drawing>
          <wp:inline distT="0" distB="0" distL="0" distR="0">
            <wp:extent cx="4015740" cy="2158365"/>
            <wp:effectExtent l="0" t="0" r="0" b="0"/>
            <wp:docPr id="19" name="图片 19" descr="C:\Users\ThinkPad\AppData\Local\Temp\WeChat Files\c759396e038abb423e68118fac70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ThinkPad\AppData\Local\Temp\WeChat Files\c759396e038abb423e68118fac70bb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17951" cy="2159665"/>
                    </a:xfrm>
                    <a:prstGeom prst="rect">
                      <a:avLst/>
                    </a:prstGeom>
                    <a:noFill/>
                    <a:ln>
                      <a:noFill/>
                    </a:ln>
                  </pic:spPr>
                </pic:pic>
              </a:graphicData>
            </a:graphic>
          </wp:inline>
        </w:drawing>
      </w:r>
    </w:p>
    <w:p>
      <w:pPr>
        <w:widowControl/>
        <w:spacing w:before="100" w:beforeAutospacing="1" w:after="100" w:afterAutospacing="1" w:line="360" w:lineRule="atLeast"/>
        <w:ind w:firstLine="480" w:firstLineChars="200"/>
        <w:jc w:val="center"/>
        <w:rPr>
          <w:rFonts w:ascii="仿宋" w:hAnsi="仿宋" w:eastAsia="仿宋"/>
        </w:rPr>
      </w:pPr>
      <w:r>
        <w:rPr>
          <w:rFonts w:ascii="仿宋" w:hAnsi="仿宋" w:eastAsia="仿宋"/>
        </w:rPr>
        <w:drawing>
          <wp:inline distT="0" distB="0" distL="0" distR="0">
            <wp:extent cx="4078605" cy="2188210"/>
            <wp:effectExtent l="0" t="0" r="0" b="0"/>
            <wp:docPr id="20" name="图片 20" descr="C:\Users\ThinkPad\AppData\Local\Temp\WeChat Files\f392d07fce28f7f49ee3c201dfc5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ThinkPad\AppData\Local\Temp\WeChat Files\f392d07fce28f7f49ee3c201dfc51a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79951" cy="2189300"/>
                    </a:xfrm>
                    <a:prstGeom prst="rect">
                      <a:avLst/>
                    </a:prstGeom>
                    <a:noFill/>
                    <a:ln>
                      <a:noFill/>
                    </a:ln>
                  </pic:spPr>
                </pic:pic>
              </a:graphicData>
            </a:graphic>
          </wp:inline>
        </w:drawing>
      </w:r>
    </w:p>
    <w:p>
      <w:pPr>
        <w:ind w:firstLine="560" w:firstLineChars="200"/>
        <w:rPr>
          <w:rFonts w:ascii="黑体" w:hAnsi="黑体" w:eastAsia="黑体" w:cs="仿宋_GB2312"/>
          <w:sz w:val="28"/>
          <w:szCs w:val="28"/>
        </w:rPr>
      </w:pPr>
    </w:p>
    <w:p>
      <w:pPr>
        <w:ind w:firstLine="560" w:firstLineChars="200"/>
        <w:rPr>
          <w:rFonts w:ascii="仿宋" w:hAnsi="仿宋" w:eastAsia="仿宋"/>
        </w:rPr>
      </w:pPr>
      <w:r>
        <w:rPr>
          <w:rFonts w:hint="eastAsia" w:ascii="黑体" w:hAnsi="黑体" w:eastAsia="黑体" w:cs="仿宋_GB2312"/>
          <w:sz w:val="28"/>
          <w:szCs w:val="28"/>
        </w:rPr>
        <w:t>六、示范中心存在的主要问题</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（1）教师的实践教学能力与社会不断变化的需求不相符。</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教师作为学生实践教学的主要引导者，其实践教学能力直接影响实验中心实践教学的有效开展。</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（2）实践教学经费紧张，实验器材、设备不足。</w:t>
      </w:r>
    </w:p>
    <w:p>
      <w:pPr>
        <w:widowControl/>
        <w:wordWrap w:val="0"/>
        <w:topLinePunct/>
        <w:spacing w:line="360" w:lineRule="auto"/>
        <w:ind w:firstLine="480" w:firstLineChars="200"/>
        <w:outlineLvl w:val="0"/>
        <w:rPr>
          <w:rFonts w:ascii="仿宋" w:hAnsi="仿宋" w:eastAsia="仿宋"/>
        </w:rPr>
      </w:pPr>
      <w:r>
        <w:rPr>
          <w:rFonts w:hint="eastAsia" w:ascii="仿宋" w:hAnsi="仿宋" w:eastAsia="仿宋"/>
        </w:rPr>
        <w:t>实验中心的实践教学包括教学计划内的实践活动和大学生创业实践。前者帮助学生强化和理解专业课知识，包括实验、认识实习、生产实习、课程设计、毕业实习、毕业设计等。后者指科技竞赛、创业计划书大赛、创业实践竞赛等。这些实践活动的开展需要一定的经费支持，然而高校教育经费不足，导致学校内的实验器材、设备不足，缺少实践场所。</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七、</w:t>
      </w:r>
      <w:bookmarkStart w:id="0" w:name="OLE_LINK91"/>
      <w:bookmarkStart w:id="1" w:name="OLE_LINK95"/>
      <w:bookmarkStart w:id="2" w:name="OLE_LINK90"/>
      <w:bookmarkStart w:id="3" w:name="OLE_LINK4"/>
      <w:bookmarkStart w:id="4" w:name="OLE_LINK97"/>
      <w:bookmarkStart w:id="5" w:name="OLE_LINK101"/>
      <w:bookmarkStart w:id="6" w:name="OLE_LINK53"/>
      <w:bookmarkStart w:id="7" w:name="OLE_LINK85"/>
      <w:bookmarkStart w:id="8" w:name="OLE_LINK86"/>
      <w:bookmarkStart w:id="9" w:name="OLE_LINK76"/>
      <w:bookmarkStart w:id="10" w:name="OLE_LINK87"/>
      <w:bookmarkStart w:id="11" w:name="OLE_LINK83"/>
      <w:bookmarkStart w:id="12" w:name="OLE_LINK94"/>
      <w:bookmarkStart w:id="13" w:name="OLE_LINK70"/>
      <w:bookmarkStart w:id="14" w:name="OLE_LINK72"/>
      <w:bookmarkStart w:id="15" w:name="OLE_LINK100"/>
      <w:bookmarkStart w:id="16" w:name="OLE_LINK73"/>
      <w:bookmarkStart w:id="17" w:name="OLE_LINK64"/>
      <w:bookmarkStart w:id="18" w:name="OLE_LINK59"/>
      <w:bookmarkStart w:id="19" w:name="OLE_LINK82"/>
      <w:bookmarkStart w:id="20" w:name="OLE_LINK103"/>
      <w:bookmarkStart w:id="21" w:name="OLE_LINK67"/>
      <w:bookmarkStart w:id="22" w:name="OLE_LINK81"/>
      <w:bookmarkStart w:id="23" w:name="OLE_LINK96"/>
      <w:bookmarkStart w:id="24" w:name="OLE_LINK71"/>
      <w:bookmarkStart w:id="25" w:name="OLE_LINK88"/>
      <w:bookmarkStart w:id="26" w:name="OLE_LINK77"/>
      <w:bookmarkStart w:id="27" w:name="OLE_LINK92"/>
      <w:bookmarkStart w:id="28" w:name="OLE_LINK63"/>
      <w:bookmarkStart w:id="29" w:name="OLE_LINK27"/>
      <w:bookmarkStart w:id="30" w:name="OLE_LINK34"/>
      <w:bookmarkStart w:id="31" w:name="OLE_LINK45"/>
      <w:bookmarkStart w:id="32" w:name="OLE_LINK98"/>
      <w:bookmarkStart w:id="33" w:name="OLE_LINK57"/>
      <w:bookmarkStart w:id="34" w:name="OLE_LINK1"/>
      <w:bookmarkStart w:id="35" w:name="OLE_LINK80"/>
      <w:bookmarkStart w:id="36" w:name="OLE_LINK102"/>
      <w:bookmarkStart w:id="37" w:name="OLE_LINK84"/>
      <w:bookmarkStart w:id="38" w:name="OLE_LINK58"/>
      <w:bookmarkStart w:id="39" w:name="OLE_LINK50"/>
      <w:bookmarkStart w:id="40" w:name="OLE_LINK93"/>
      <w:bookmarkStart w:id="41" w:name="OLE_LINK2"/>
      <w:bookmarkStart w:id="42" w:name="OLE_LINK13"/>
      <w:bookmarkStart w:id="43" w:name="OLE_LINK8"/>
      <w:bookmarkStart w:id="44" w:name="OLE_LINK31"/>
      <w:bookmarkStart w:id="45" w:name="OLE_LINK99"/>
      <w:bookmarkStart w:id="46" w:name="OLE_LINK43"/>
      <w:bookmarkStart w:id="47" w:name="OLE_LINK14"/>
      <w:bookmarkStart w:id="48" w:name="OLE_LINK7"/>
      <w:bookmarkStart w:id="49" w:name="OLE_LINK41"/>
      <w:bookmarkStart w:id="50" w:name="OLE_LINK3"/>
      <w:bookmarkStart w:id="51" w:name="OLE_LINK12"/>
      <w:bookmarkStart w:id="52" w:name="OLE_LINK9"/>
      <w:bookmarkStart w:id="53" w:name="OLE_LINK25"/>
      <w:bookmarkStart w:id="54" w:name="OLE_LINK78"/>
      <w:bookmarkStart w:id="55" w:name="OLE_LINK55"/>
      <w:bookmarkStart w:id="56" w:name="OLE_LINK5"/>
      <w:bookmarkStart w:id="57" w:name="OLE_LINK89"/>
      <w:bookmarkStart w:id="58" w:name="OLE_LINK15"/>
      <w:bookmarkStart w:id="59" w:name="OLE_LINK54"/>
      <w:bookmarkStart w:id="60" w:name="OLE_LINK60"/>
      <w:bookmarkStart w:id="61" w:name="OLE_LINK37"/>
      <w:bookmarkStart w:id="62" w:name="OLE_LINK30"/>
      <w:bookmarkStart w:id="63" w:name="OLE_LINK47"/>
      <w:bookmarkStart w:id="64" w:name="OLE_LINK26"/>
      <w:bookmarkStart w:id="65" w:name="OLE_LINK32"/>
      <w:bookmarkStart w:id="66" w:name="OLE_LINK51"/>
      <w:bookmarkStart w:id="67" w:name="OLE_LINK44"/>
      <w:bookmarkStart w:id="68" w:name="OLE_LINK24"/>
      <w:bookmarkStart w:id="69" w:name="OLE_LINK11"/>
      <w:bookmarkStart w:id="70" w:name="OLE_LINK74"/>
      <w:bookmarkStart w:id="71" w:name="OLE_LINK38"/>
      <w:bookmarkStart w:id="72" w:name="OLE_LINK65"/>
      <w:bookmarkStart w:id="73" w:name="OLE_LINK52"/>
      <w:bookmarkStart w:id="74" w:name="OLE_LINK79"/>
      <w:bookmarkStart w:id="75" w:name="OLE_LINK42"/>
      <w:bookmarkStart w:id="76" w:name="OLE_LINK19"/>
      <w:bookmarkStart w:id="77" w:name="OLE_LINK66"/>
      <w:bookmarkStart w:id="78" w:name="OLE_LINK39"/>
      <w:bookmarkStart w:id="79" w:name="OLE_LINK6"/>
      <w:bookmarkStart w:id="80" w:name="OLE_LINK17"/>
      <w:bookmarkStart w:id="81" w:name="OLE_LINK10"/>
      <w:bookmarkStart w:id="82" w:name="OLE_LINK29"/>
      <w:bookmarkStart w:id="83" w:name="OLE_LINK48"/>
      <w:bookmarkStart w:id="84" w:name="OLE_LINK21"/>
      <w:bookmarkStart w:id="85" w:name="OLE_LINK69"/>
      <w:bookmarkStart w:id="86" w:name="OLE_LINK22"/>
      <w:bookmarkStart w:id="87" w:name="OLE_LINK35"/>
      <w:bookmarkStart w:id="88" w:name="OLE_LINK61"/>
      <w:bookmarkStart w:id="89" w:name="OLE_LINK40"/>
      <w:bookmarkStart w:id="90" w:name="OLE_LINK28"/>
      <w:bookmarkStart w:id="91" w:name="OLE_LINK16"/>
      <w:bookmarkStart w:id="92" w:name="OLE_LINK46"/>
      <w:bookmarkStart w:id="93" w:name="OLE_LINK68"/>
      <w:bookmarkStart w:id="94" w:name="OLE_LINK33"/>
      <w:bookmarkStart w:id="95" w:name="OLE_LINK56"/>
      <w:bookmarkStart w:id="96" w:name="OLE_LINK75"/>
      <w:bookmarkStart w:id="97" w:name="OLE_LINK36"/>
      <w:bookmarkStart w:id="98" w:name="OLE_LINK20"/>
      <w:bookmarkStart w:id="99" w:name="OLE_LINK18"/>
      <w:bookmarkStart w:id="100" w:name="OLE_LINK49"/>
      <w:bookmarkStart w:id="101" w:name="OLE_LINK62"/>
      <w:bookmarkStart w:id="102" w:name="OLE_LINK23"/>
      <w:r>
        <w:rPr>
          <w:rFonts w:hint="eastAsia" w:ascii="黑体" w:hAnsi="黑体" w:eastAsia="黑体" w:cs="仿宋_GB2312"/>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sz w:val="28"/>
          <w:szCs w:val="28"/>
        </w:rPr>
        <w:t>的支持</w:t>
      </w:r>
    </w:p>
    <w:p>
      <w:pPr>
        <w:spacing w:line="360" w:lineRule="auto"/>
        <w:ind w:firstLine="480" w:firstLineChars="200"/>
        <w:rPr>
          <w:rFonts w:ascii="仿宋" w:hAnsi="仿宋" w:eastAsia="仿宋" w:cs="宋体"/>
          <w:kern w:val="0"/>
        </w:rPr>
      </w:pPr>
      <w:r>
        <w:rPr>
          <w:rFonts w:hint="eastAsia" w:ascii="仿宋" w:hAnsi="仿宋" w:eastAsia="仿宋" w:cs="宋体"/>
          <w:kern w:val="0"/>
        </w:rPr>
        <w:t>学校在新调整的教学工作量计算办法中，适当加大了实践教学工作量计算方法，在一定程度上促进了教师开展实践教学的积极性。</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2.文中介绍的成果必须带有示范中心成员的署名。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pPr>
        <w:ind w:firstLine="560" w:firstLineChars="200"/>
        <w:rPr>
          <w:rFonts w:ascii="楷体" w:hAnsi="楷体" w:eastAsia="楷体" w:cs="仿宋_GB2312"/>
          <w:sz w:val="28"/>
          <w:szCs w:val="28"/>
        </w:rPr>
      </w:pPr>
      <w:r>
        <w:rPr>
          <w:rFonts w:ascii="楷体" w:eastAsia="楷体" w:cs="楷体"/>
          <w:kern w:val="0"/>
          <w:sz w:val="28"/>
          <w:szCs w:val="28"/>
          <w:lang w:val="zh-CN"/>
        </w:rPr>
        <w:t>4.</w:t>
      </w:r>
      <w:r>
        <w:rPr>
          <w:rFonts w:hint="eastAsia" w:ascii="楷体" w:hAnsi="楷体" w:eastAsia="楷体" w:cs="仿宋_GB2312"/>
          <w:sz w:val="28"/>
          <w:szCs w:val="28"/>
        </w:rPr>
        <w:t>模板中涂红色部分较上年度有变化，请填写时注意。</w:t>
      </w:r>
    </w:p>
    <w:p>
      <w:pPr>
        <w:ind w:firstLine="640" w:firstLineChars="200"/>
        <w:rPr>
          <w:rFonts w:ascii="仿宋" w:hAnsi="仿宋" w:eastAsia="仿宋" w:cs="仿宋_GB2312"/>
          <w:sz w:val="32"/>
          <w:szCs w:val="32"/>
        </w:rPr>
      </w:pPr>
    </w:p>
    <w:p>
      <w:pPr>
        <w:ind w:firstLine="640" w:firstLineChars="200"/>
        <w:rPr>
          <w:rFonts w:ascii="仿宋" w:hAnsi="仿宋" w:eastAsia="仿宋" w:cs="仿宋_GB2312"/>
          <w:sz w:val="32"/>
          <w:szCs w:val="32"/>
        </w:rPr>
      </w:pPr>
    </w:p>
    <w:p>
      <w:pPr>
        <w:ind w:firstLine="640" w:firstLineChars="200"/>
        <w:rPr>
          <w:rFonts w:ascii="仿宋" w:hAnsi="仿宋" w:eastAsia="仿宋" w:cs="仿宋_GB2312"/>
          <w:sz w:val="32"/>
          <w:szCs w:val="32"/>
        </w:rPr>
      </w:pPr>
    </w:p>
    <w:p>
      <w:pPr>
        <w:ind w:firstLine="640" w:firstLineChars="200"/>
        <w:rPr>
          <w:rFonts w:ascii="仿宋" w:hAnsi="仿宋" w:eastAsia="仿宋" w:cs="仿宋_GB2312"/>
          <w:sz w:val="32"/>
          <w:szCs w:val="32"/>
        </w:rPr>
      </w:pPr>
    </w:p>
    <w:p>
      <w:pPr>
        <w:ind w:firstLine="640" w:firstLineChars="200"/>
        <w:rPr>
          <w:rFonts w:ascii="仿宋" w:hAnsi="仿宋" w:eastAsia="仿宋" w:cs="仿宋_GB2312"/>
          <w:sz w:val="32"/>
          <w:szCs w:val="32"/>
        </w:rPr>
      </w:pPr>
    </w:p>
    <w:p>
      <w:pPr>
        <w:ind w:firstLine="640" w:firstLineChars="200"/>
        <w:rPr>
          <w:rFonts w:hint="eastAsia" w:ascii="仿宋" w:hAnsi="仿宋" w:eastAsia="仿宋" w:cs="仿宋_GB2312"/>
          <w:sz w:val="32"/>
          <w:szCs w:val="32"/>
        </w:rPr>
      </w:pPr>
    </w:p>
    <w:p>
      <w:pPr>
        <w:ind w:firstLine="640" w:firstLineChars="200"/>
        <w:rPr>
          <w:rFonts w:hint="eastAsia" w:ascii="仿宋" w:hAnsi="仿宋" w:eastAsia="仿宋" w:cs="仿宋_GB2312"/>
          <w:sz w:val="32"/>
          <w:szCs w:val="32"/>
        </w:rPr>
      </w:pPr>
    </w:p>
    <w:p>
      <w:pPr>
        <w:ind w:firstLine="640" w:firstLineChars="200"/>
        <w:rPr>
          <w:rFonts w:hint="eastAsia" w:ascii="仿宋" w:hAnsi="仿宋" w:eastAsia="仿宋" w:cs="仿宋_GB2312"/>
          <w:sz w:val="32"/>
          <w:szCs w:val="32"/>
        </w:rPr>
      </w:pPr>
    </w:p>
    <w:p>
      <w:pPr>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w w:val="90"/>
          <w:sz w:val="28"/>
          <w:szCs w:val="28"/>
        </w:rPr>
        <w:t xml:space="preserve"> 202</w:t>
      </w:r>
      <w:r>
        <w:rPr>
          <w:rFonts w:hint="eastAsia" w:ascii="楷体" w:hAnsi="楷体" w:eastAsia="楷体"/>
          <w:w w:val="90"/>
          <w:sz w:val="28"/>
          <w:szCs w:val="28"/>
          <w:lang w:val="en-US" w:eastAsia="zh-CN"/>
        </w:rPr>
        <w:t>1</w:t>
      </w:r>
      <w:r>
        <w:rPr>
          <w:rFonts w:hint="eastAsia" w:ascii="楷体" w:hAnsi="楷体" w:eastAsia="楷体"/>
          <w:w w:val="90"/>
          <w:sz w:val="28"/>
          <w:szCs w:val="28"/>
        </w:rPr>
        <w:t>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beforeLines="50" w:after="163" w:afterLines="50"/>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8"/>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1420"/>
        <w:gridCol w:w="1095"/>
        <w:gridCol w:w="570"/>
        <w:gridCol w:w="849"/>
        <w:gridCol w:w="285"/>
        <w:gridCol w:w="1457"/>
        <w:gridCol w:w="1420"/>
        <w:gridCol w:w="235"/>
        <w:gridCol w:w="11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6001" w:type="dxa"/>
            <w:gridSpan w:val="7"/>
            <w:shd w:val="clear" w:color="auto" w:fill="FFFFFF" w:themeFill="background1"/>
          </w:tcPr>
          <w:p>
            <w:pPr>
              <w:rPr>
                <w:rFonts w:ascii="黑体" w:hAnsi="黑体" w:eastAsia="黑体"/>
                <w:bCs/>
                <w:sz w:val="28"/>
                <w:szCs w:val="28"/>
              </w:rPr>
            </w:pPr>
            <w:r>
              <w:rPr>
                <w:rFonts w:hint="eastAsia" w:ascii="黑体" w:hAnsi="黑体" w:eastAsia="黑体"/>
                <w:bCs/>
                <w:sz w:val="24"/>
                <w:szCs w:val="24"/>
              </w:rPr>
              <w:t>建筑电气与智能市级实验教学示范中心（天津城建大学）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6001" w:type="dxa"/>
            <w:gridSpan w:val="7"/>
            <w:shd w:val="clear" w:color="auto" w:fill="FFFFFF" w:themeFill="background1"/>
          </w:tcPr>
          <w:p>
            <w:pPr>
              <w:rPr>
                <w:rFonts w:ascii="黑体" w:hAnsi="黑体" w:eastAsia="黑体"/>
                <w:bCs/>
                <w:sz w:val="28"/>
                <w:szCs w:val="28"/>
              </w:rPr>
            </w:pPr>
            <w:r>
              <w:rPr>
                <w:rFonts w:ascii="黑体" w:hAnsi="黑体" w:eastAsia="黑体"/>
                <w:bCs/>
                <w:sz w:val="28"/>
                <w:szCs w:val="28"/>
              </w:rPr>
              <w:t>天津城建大学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6001" w:type="dxa"/>
            <w:gridSpan w:val="7"/>
            <w:shd w:val="clear" w:color="auto" w:fill="FFFFFF" w:themeFill="background1"/>
          </w:tcPr>
          <w:p>
            <w:pPr>
              <w:rPr>
                <w:rFonts w:ascii="黑体" w:hAnsi="黑体" w:eastAsia="黑体"/>
                <w:bCs/>
                <w:sz w:val="28"/>
                <w:szCs w:val="28"/>
              </w:rPr>
            </w:pPr>
            <w:r>
              <w:rPr>
                <w:rFonts w:ascii="黑体" w:hAnsi="黑体" w:eastAsia="黑体"/>
                <w:bCs/>
                <w:sz w:val="28"/>
                <w:szCs w:val="28"/>
              </w:rPr>
              <w:t>天津市教育委员会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6001" w:type="dxa"/>
            <w:gridSpan w:val="7"/>
            <w:shd w:val="clear" w:color="auto" w:fill="FFFFFF" w:themeFill="background1"/>
            <w:vAlign w:val="bottom"/>
          </w:tcPr>
          <w:p>
            <w:pPr>
              <w:rPr>
                <w:rFonts w:ascii="仿宋_GB2312" w:eastAsia="仿宋_GB2312"/>
                <w:b/>
                <w:spacing w:val="-10"/>
                <w:sz w:val="30"/>
                <w:szCs w:val="30"/>
              </w:rPr>
            </w:pPr>
            <w:r>
              <w:rPr>
                <w:rFonts w:ascii="仿宋_GB2312" w:eastAsia="仿宋_GB2312"/>
                <w:b/>
                <w:spacing w:val="-10"/>
                <w:sz w:val="30"/>
                <w:szCs w:val="30"/>
              </w:rPr>
              <w:t>https://cm.tcu.edu.cn/info/2009/3553.htm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3161" w:type="dxa"/>
            <w:gridSpan w:val="4"/>
            <w:shd w:val="clear" w:color="auto" w:fill="FFFFFF" w:themeFill="background1"/>
          </w:tcPr>
          <w:p>
            <w:pPr>
              <w:rPr>
                <w:rFonts w:ascii="黑体" w:hAnsi="黑体" w:eastAsia="黑体"/>
                <w:bCs/>
                <w:sz w:val="28"/>
                <w:szCs w:val="28"/>
              </w:rPr>
            </w:pPr>
            <w:r>
              <w:rPr>
                <w:rFonts w:ascii="黑体" w:hAnsi="黑体" w:eastAsia="黑体"/>
                <w:bCs/>
                <w:sz w:val="28"/>
                <w:szCs w:val="28"/>
              </w:rPr>
              <w:t>津静公路</w:t>
            </w:r>
            <w:r>
              <w:rPr>
                <w:rFonts w:hint="eastAsia" w:ascii="黑体" w:hAnsi="黑体" w:eastAsia="黑体"/>
                <w:bCs/>
                <w:sz w:val="28"/>
                <w:szCs w:val="28"/>
              </w:rPr>
              <w:t>26号</w:t>
            </w:r>
          </w:p>
        </w:tc>
        <w:tc>
          <w:tcPr>
            <w:tcW w:w="1420" w:type="dxa"/>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邮政编码</w:t>
            </w:r>
          </w:p>
        </w:tc>
        <w:tc>
          <w:tcPr>
            <w:tcW w:w="1420" w:type="dxa"/>
            <w:gridSpan w:val="2"/>
            <w:shd w:val="clear" w:color="auto" w:fill="FFFFFF" w:themeFill="background1"/>
          </w:tcPr>
          <w:p>
            <w:pPr>
              <w:rPr>
                <w:rFonts w:ascii="黑体" w:hAnsi="黑体" w:eastAsia="黑体"/>
                <w:bCs/>
                <w:sz w:val="28"/>
                <w:szCs w:val="28"/>
              </w:rPr>
            </w:pPr>
            <w:r>
              <w:rPr>
                <w:rFonts w:hint="eastAsia" w:ascii="黑体" w:hAnsi="黑体" w:eastAsia="黑体"/>
                <w:bCs/>
                <w:sz w:val="28"/>
                <w:szCs w:val="28"/>
              </w:rPr>
              <w:t>300384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6001" w:type="dxa"/>
            <w:gridSpan w:val="7"/>
            <w:shd w:val="clear" w:color="auto" w:fill="FFFFFF" w:themeFill="background1"/>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1420" w:type="dxa"/>
            <w:shd w:val="clear" w:color="auto" w:fill="FFFFFF" w:themeFill="background1"/>
          </w:tcPr>
          <w:p>
            <w:pPr>
              <w:rPr>
                <w:rFonts w:ascii="黑体" w:hAnsi="黑体" w:eastAsia="黑体"/>
                <w:bCs/>
                <w:sz w:val="28"/>
                <w:szCs w:val="28"/>
              </w:rPr>
            </w:pPr>
            <w:r>
              <w:rPr>
                <w:rFonts w:hint="eastAsia" w:ascii="黑体" w:hAnsi="黑体" w:eastAsia="黑体"/>
                <w:bCs/>
                <w:sz w:val="28"/>
                <w:szCs w:val="28"/>
              </w:rPr>
              <w:t>建筑面积</w:t>
            </w:r>
          </w:p>
        </w:tc>
        <w:tc>
          <w:tcPr>
            <w:tcW w:w="1095" w:type="dxa"/>
            <w:shd w:val="clear" w:color="auto" w:fill="FFFFFF" w:themeFill="background1"/>
          </w:tcPr>
          <w:p>
            <w:pPr>
              <w:rPr>
                <w:rFonts w:ascii="楷体" w:hAnsi="楷体" w:eastAsia="楷体"/>
                <w:bCs/>
                <w:sz w:val="28"/>
                <w:szCs w:val="28"/>
              </w:rPr>
            </w:pPr>
            <w:r>
              <w:rPr>
                <w:rFonts w:hint="eastAsia" w:ascii="黑体" w:hAnsi="黑体" w:eastAsia="黑体"/>
                <w:bCs/>
                <w:sz w:val="28"/>
                <w:szCs w:val="28"/>
              </w:rPr>
              <w:t>1739</w:t>
            </w:r>
            <w:r>
              <w:rPr>
                <w:rFonts w:hint="eastAsia" w:ascii="楷体" w:hAnsi="楷体" w:eastAsia="楷体"/>
                <w:bCs/>
                <w:sz w:val="28"/>
                <w:szCs w:val="28"/>
              </w:rPr>
              <w:t>㎡</w:t>
            </w:r>
          </w:p>
        </w:tc>
        <w:tc>
          <w:tcPr>
            <w:tcW w:w="1419" w:type="dxa"/>
            <w:gridSpan w:val="2"/>
            <w:shd w:val="clear" w:color="auto" w:fill="FFFFFF" w:themeFill="background1"/>
          </w:tcPr>
          <w:p>
            <w:pPr>
              <w:rPr>
                <w:rFonts w:ascii="黑体" w:hAnsi="黑体" w:eastAsia="黑体"/>
                <w:bCs/>
                <w:sz w:val="28"/>
                <w:szCs w:val="28"/>
              </w:rPr>
            </w:pPr>
            <w:r>
              <w:rPr>
                <w:rFonts w:hint="eastAsia" w:ascii="黑体" w:hAnsi="黑体" w:eastAsia="黑体"/>
                <w:bCs/>
                <w:sz w:val="28"/>
                <w:szCs w:val="28"/>
              </w:rPr>
              <w:t>设备总值</w:t>
            </w:r>
          </w:p>
        </w:tc>
        <w:tc>
          <w:tcPr>
            <w:tcW w:w="1742" w:type="dxa"/>
            <w:gridSpan w:val="2"/>
            <w:shd w:val="clear" w:color="auto" w:fill="FFFFFF" w:themeFill="background1"/>
          </w:tcPr>
          <w:p>
            <w:pPr>
              <w:rPr>
                <w:rFonts w:ascii="楷体" w:hAnsi="楷体" w:eastAsia="楷体"/>
                <w:bCs/>
                <w:sz w:val="28"/>
                <w:szCs w:val="28"/>
              </w:rPr>
            </w:pPr>
            <w:r>
              <w:rPr>
                <w:rFonts w:hint="eastAsia" w:ascii="黑体" w:hAnsi="黑体" w:eastAsia="黑体"/>
                <w:bCs/>
                <w:sz w:val="28"/>
                <w:szCs w:val="28"/>
              </w:rPr>
              <w:t>1357</w:t>
            </w:r>
            <w:r>
              <w:rPr>
                <w:rFonts w:ascii="黑体" w:hAnsi="黑体" w:eastAsia="黑体"/>
                <w:bCs/>
                <w:sz w:val="28"/>
                <w:szCs w:val="28"/>
              </w:rPr>
              <w:t>万</w:t>
            </w:r>
            <w:r>
              <w:rPr>
                <w:rFonts w:hint="eastAsia" w:ascii="楷体" w:hAnsi="楷体" w:eastAsia="楷体"/>
                <w:bCs/>
                <w:sz w:val="28"/>
                <w:szCs w:val="28"/>
              </w:rPr>
              <w:t>元</w:t>
            </w:r>
          </w:p>
        </w:tc>
        <w:tc>
          <w:tcPr>
            <w:tcW w:w="1420" w:type="dxa"/>
            <w:shd w:val="clear" w:color="auto" w:fill="FFFFFF" w:themeFill="background1"/>
          </w:tcPr>
          <w:p>
            <w:pPr>
              <w:rPr>
                <w:rFonts w:ascii="黑体" w:hAnsi="黑体" w:eastAsia="黑体"/>
                <w:bCs/>
                <w:sz w:val="28"/>
                <w:szCs w:val="28"/>
              </w:rPr>
            </w:pPr>
            <w:r>
              <w:rPr>
                <w:rFonts w:hint="eastAsia" w:ascii="黑体" w:hAnsi="黑体" w:eastAsia="黑体"/>
                <w:bCs/>
                <w:sz w:val="28"/>
                <w:szCs w:val="28"/>
              </w:rPr>
              <w:t>设备台数</w:t>
            </w:r>
          </w:p>
        </w:tc>
        <w:tc>
          <w:tcPr>
            <w:tcW w:w="1420" w:type="dxa"/>
            <w:gridSpan w:val="2"/>
            <w:shd w:val="clear" w:color="auto" w:fill="FFFFFF" w:themeFill="background1"/>
          </w:tcPr>
          <w:p>
            <w:pPr>
              <w:rPr>
                <w:rFonts w:ascii="楷体" w:hAnsi="楷体" w:eastAsia="楷体"/>
                <w:bCs/>
                <w:sz w:val="28"/>
                <w:szCs w:val="28"/>
              </w:rPr>
            </w:pPr>
            <w:r>
              <w:rPr>
                <w:rFonts w:ascii="楷体" w:hAnsi="楷体" w:eastAsia="楷体"/>
                <w:bCs/>
                <w:sz w:val="28"/>
                <w:szCs w:val="28"/>
              </w:rPr>
              <w:t>1</w:t>
            </w:r>
            <w:r>
              <w:rPr>
                <w:rFonts w:hint="eastAsia" w:ascii="楷体" w:hAnsi="楷体" w:eastAsia="楷体"/>
                <w:bCs/>
                <w:sz w:val="28"/>
                <w:szCs w:val="28"/>
              </w:rPr>
              <w:t>457台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2515" w:type="dxa"/>
            <w:gridSpan w:val="2"/>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6001" w:type="dxa"/>
            <w:gridSpan w:val="7"/>
            <w:shd w:val="clear" w:color="auto" w:fill="FFFFFF" w:themeFill="background1"/>
          </w:tcPr>
          <w:p>
            <w:pPr>
              <w:jc w:val="center"/>
              <w:rPr>
                <w:rFonts w:ascii="黑体" w:hAnsi="黑体" w:eastAsia="黑体"/>
                <w:bCs/>
                <w:sz w:val="28"/>
                <w:szCs w:val="28"/>
              </w:rPr>
            </w:pPr>
            <w:r>
              <w:rPr>
                <w:rFonts w:hint="eastAsia" w:ascii="黑体" w:hAnsi="黑体" w:eastAsia="黑体"/>
                <w:bCs/>
                <w:sz w:val="28"/>
                <w:szCs w:val="28"/>
              </w:rPr>
              <w:t>95万元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3085" w:type="dxa"/>
            <w:gridSpan w:val="3"/>
            <w:tcBorders>
              <w:right w:val="single" w:color="auto" w:sz="4" w:space="0"/>
            </w:tcBorders>
            <w:shd w:val="clear" w:color="auto" w:fill="FFFFFF" w:themeFill="background1"/>
            <w:vAlign w:val="center"/>
          </w:tcPr>
          <w:p>
            <w:pPr>
              <w:jc w:val="center"/>
              <w:rPr>
                <w:rFonts w:ascii="黑体" w:hAnsi="黑体" w:eastAsia="黑体"/>
                <w:bCs/>
                <w:sz w:val="28"/>
                <w:szCs w:val="28"/>
              </w:rPr>
            </w:pPr>
            <w:r>
              <w:rPr>
                <w:rFonts w:hint="eastAsia" w:ascii="黑体" w:hAnsi="黑体" w:eastAsia="黑体"/>
                <w:bCs/>
                <w:sz w:val="28"/>
                <w:szCs w:val="28"/>
              </w:rPr>
              <w:t>主管部门年度经费投入</w:t>
            </w:r>
          </w:p>
          <w:p>
            <w:pPr>
              <w:jc w:val="center"/>
              <w:rPr>
                <w:rFonts w:ascii="楷体" w:hAnsi="楷体" w:eastAsia="楷体"/>
                <w:bCs/>
              </w:rPr>
            </w:pPr>
            <w:r>
              <w:rPr>
                <w:rFonts w:hint="eastAsia" w:ascii="楷体" w:hAnsi="楷体" w:eastAsia="楷体"/>
                <w:bCs/>
              </w:rPr>
              <w:t>（直属高校不填）</w:t>
            </w:r>
          </w:p>
        </w:tc>
        <w:tc>
          <w:tcPr>
            <w:tcW w:w="1134" w:type="dxa"/>
            <w:gridSpan w:val="2"/>
            <w:tcBorders>
              <w:left w:val="single" w:color="auto" w:sz="4" w:space="0"/>
            </w:tcBorders>
            <w:shd w:val="clear" w:color="auto" w:fill="FFFFFF" w:themeFill="background1"/>
            <w:vAlign w:val="center"/>
          </w:tcPr>
          <w:p>
            <w:pPr>
              <w:jc w:val="center"/>
              <w:rPr>
                <w:rFonts w:ascii="楷体" w:hAnsi="楷体" w:eastAsia="楷体"/>
                <w:bCs/>
                <w:sz w:val="28"/>
                <w:szCs w:val="28"/>
              </w:rPr>
            </w:pPr>
            <w:r>
              <w:rPr>
                <w:rFonts w:hint="eastAsia" w:ascii="楷体" w:hAnsi="楷体" w:eastAsia="楷体"/>
                <w:bCs/>
                <w:sz w:val="28"/>
                <w:szCs w:val="28"/>
              </w:rPr>
              <w:t>95万元</w:t>
            </w:r>
          </w:p>
        </w:tc>
        <w:tc>
          <w:tcPr>
            <w:tcW w:w="3112" w:type="dxa"/>
            <w:gridSpan w:val="3"/>
            <w:shd w:val="clear" w:color="auto" w:fill="FFFFFF" w:themeFill="background1"/>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1185" w:type="dxa"/>
            <w:shd w:val="clear" w:color="auto" w:fill="FFFFFF" w:themeFill="background1"/>
            <w:vAlign w:val="center"/>
          </w:tcPr>
          <w:p>
            <w:pPr>
              <w:jc w:val="center"/>
              <w:rPr>
                <w:rFonts w:ascii="楷体" w:hAnsi="楷体" w:eastAsia="楷体"/>
                <w:bCs/>
                <w:sz w:val="28"/>
                <w:szCs w:val="28"/>
              </w:rPr>
            </w:pPr>
            <w:r>
              <w:rPr>
                <w:rFonts w:hint="eastAsia" w:ascii="楷体" w:hAnsi="楷体" w:eastAsia="楷体"/>
                <w:bCs/>
                <w:sz w:val="28"/>
                <w:szCs w:val="28"/>
              </w:rPr>
              <w:t>0万元</w:t>
            </w:r>
          </w:p>
        </w:tc>
      </w:tr>
    </w:tbl>
    <w:p>
      <w:pPr>
        <w:ind w:firstLine="470" w:firstLineChars="196"/>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spacing w:before="163" w:beforeLines="50"/>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二、人才队伍基本情况</w:t>
      </w:r>
    </w:p>
    <w:p>
      <w:pPr>
        <w:spacing w:before="163" w:beforeLines="50" w:after="163" w:afterLines="50"/>
        <w:ind w:firstLine="560" w:firstLineChars="200"/>
        <w:rPr>
          <w:rFonts w:hint="eastAsia"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7"/>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09"/>
        <w:gridCol w:w="992"/>
        <w:gridCol w:w="709"/>
        <w:gridCol w:w="1276"/>
        <w:gridCol w:w="992"/>
        <w:gridCol w:w="851"/>
        <w:gridCol w:w="1275"/>
        <w:gridCol w:w="709"/>
        <w:gridCol w:w="85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姓名</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性别</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出生年份</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职称</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职务</w:t>
            </w: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工作性质</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学位</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苏刚</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1969.10</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教授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sz w:val="21"/>
                <w:szCs w:val="21"/>
              </w:rPr>
            </w:pPr>
            <w:r>
              <w:rPr>
                <w:rFonts w:hint="eastAsia" w:ascii="仿宋" w:hAnsi="仿宋" w:eastAsia="仿宋" w:cs="宋体"/>
                <w:sz w:val="21"/>
                <w:szCs w:val="21"/>
              </w:rPr>
              <w:t>实验中心主任</w:t>
            </w: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sz w:val="21"/>
                <w:szCs w:val="21"/>
              </w:rPr>
            </w:pPr>
            <w:r>
              <w:rPr>
                <w:rFonts w:hint="eastAsia" w:ascii="仿宋" w:hAnsi="仿宋" w:eastAsia="仿宋" w:cs="宋体"/>
                <w:sz w:val="21"/>
                <w:szCs w:val="21"/>
              </w:rPr>
              <w:t>教学、管理</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sz w:val="21"/>
                <w:szCs w:val="21"/>
              </w:rPr>
            </w:pPr>
            <w:r>
              <w:rPr>
                <w:rFonts w:hint="eastAsia" w:ascii="仿宋" w:hAnsi="仿宋" w:eastAsia="仿宋" w:cs="宋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宋体"/>
              </w:rPr>
              <w:t>陈冰</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1979.08</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教学、管理</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宋体"/>
              </w:rPr>
              <w:t>轧超</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1964.09</w:t>
            </w:r>
            <w:r>
              <w:rPr>
                <w:rFonts w:ascii="仿宋" w:hAnsi="仿宋" w:eastAsia="仿宋"/>
              </w:rPr>
              <w:t xml:space="preserve"> </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副教授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5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戈文琪</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1986.11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副教授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90"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朱琳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宋体"/>
              </w:rPr>
              <w:t>1987.01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00"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6</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王悦</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宋体"/>
              </w:rPr>
              <w:t>1979.12</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7</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王英红</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1970.01</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rPr>
            </w:pPr>
            <w:r>
              <w:rPr>
                <w:rFonts w:hint="eastAsia" w:ascii="仿宋" w:hAnsi="仿宋" w:eastAsia="仿宋" w:cs="黑体"/>
              </w:rPr>
              <w:t>高级实验师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76" w:hRule="atLeast"/>
        </w:trPr>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8</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宋体"/>
              </w:rPr>
              <w:t>陈建辉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1978.10</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rPr>
            </w:pPr>
            <w:r>
              <w:rPr>
                <w:rFonts w:hint="eastAsia" w:ascii="仿宋" w:hAnsi="仿宋" w:eastAsia="仿宋" w:cs="黑体"/>
              </w:rPr>
              <w:t>讲师</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p>
        </w:tc>
        <w:tc>
          <w:tcPr>
            <w:tcW w:w="12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教学</w:t>
            </w:r>
          </w:p>
        </w:tc>
        <w:tc>
          <w:tcPr>
            <w:tcW w:w="709"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硕士</w:t>
            </w:r>
          </w:p>
        </w:tc>
        <w:tc>
          <w:tcPr>
            <w:tcW w:w="851"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p>
        </w:tc>
      </w:tr>
    </w:tbl>
    <w:p>
      <w:pPr>
        <w:spacing w:before="163" w:beforeLines="50"/>
        <w:ind w:firstLine="480" w:firstLineChars="200"/>
        <w:rPr>
          <w:rFonts w:ascii="楷体" w:hAnsi="楷体" w:eastAsia="楷体"/>
        </w:rPr>
      </w:pPr>
      <w:r>
        <w:rPr>
          <w:rFonts w:hint="eastAsia" w:ascii="楷体" w:hAnsi="楷体" w:eastAsia="楷体" w:cs="仿宋_GB2312"/>
          <w:bCs/>
        </w:rPr>
        <w:t>注：（1）固定人员：</w:t>
      </w:r>
      <w:r>
        <w:rPr>
          <w:rFonts w:hint="eastAsia" w:ascii="楷体" w:hAnsi="楷体" w:eastAsia="楷体" w:cs="仿宋_GB2312"/>
        </w:rPr>
        <w:t>指经过核定的属于示范中心编制的人员。（2）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63" w:beforeLines="50" w:after="163" w:afterLines="50"/>
        <w:ind w:firstLine="560" w:firstLineChars="200"/>
        <w:rPr>
          <w:rFonts w:hint="eastAsia" w:ascii="黑体" w:hAnsi="黑体" w:eastAsia="黑体" w:cs="仿宋_GB2312"/>
          <w:bCs/>
          <w:sz w:val="28"/>
          <w:szCs w:val="28"/>
        </w:rPr>
      </w:pPr>
      <w:r>
        <w:rPr>
          <w:rFonts w:hint="eastAsia" w:ascii="黑体" w:hAnsi="黑体" w:eastAsia="黑体"/>
          <w:bCs/>
          <w:sz w:val="28"/>
          <w:szCs w:val="28"/>
        </w:rPr>
        <w:t>（二）本年度</w:t>
      </w:r>
      <w:r>
        <w:rPr>
          <w:rFonts w:hint="eastAsia" w:ascii="黑体" w:hAnsi="黑体" w:eastAsia="黑体" w:cs="仿宋_GB2312"/>
          <w:bCs/>
          <w:sz w:val="28"/>
          <w:szCs w:val="28"/>
        </w:rPr>
        <w:t>流动人员情况</w:t>
      </w:r>
    </w:p>
    <w:tbl>
      <w:tblPr>
        <w:tblStyle w:val="7"/>
        <w:tblW w:w="5023"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461"/>
        <w:gridCol w:w="964"/>
        <w:gridCol w:w="708"/>
        <w:gridCol w:w="1133"/>
        <w:gridCol w:w="991"/>
        <w:gridCol w:w="708"/>
        <w:gridCol w:w="992"/>
        <w:gridCol w:w="1133"/>
        <w:gridCol w:w="1465"/>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姓名</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性别</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出生</w:t>
            </w:r>
          </w:p>
          <w:p>
            <w:pPr>
              <w:jc w:val="center"/>
              <w:rPr>
                <w:rFonts w:ascii="黑体" w:hAnsi="黑体" w:eastAsia="黑体" w:cs="宋体"/>
              </w:rPr>
            </w:pPr>
            <w:r>
              <w:rPr>
                <w:rFonts w:hint="eastAsia" w:ascii="黑体" w:hAnsi="黑体" w:eastAsia="黑体" w:cs="宋体"/>
              </w:rPr>
              <w:t>年份</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职称</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国别</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w:t>
            </w:r>
          </w:p>
          <w:p>
            <w:pPr>
              <w:jc w:val="center"/>
              <w:rPr>
                <w:rFonts w:ascii="黑体" w:hAnsi="黑体" w:eastAsia="黑体" w:cs="宋体"/>
              </w:rPr>
            </w:pPr>
            <w:r>
              <w:rPr>
                <w:rFonts w:hint="eastAsia" w:ascii="黑体" w:hAnsi="黑体" w:eastAsia="黑体" w:cs="宋体"/>
              </w:rPr>
              <w:t>单位</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类型</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杨帆</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1966.09</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王雪光</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1974.02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3</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王首彬</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1979.03</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4</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潘雷</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1981.04</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5</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罗春丽</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1977.08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6</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张树臣</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1965.08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7</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郭福雁</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1976.10</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8</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杨国庆</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1974.10</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9</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范文</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1978.12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副教授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10</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齐利晓</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1979.08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11</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任月清</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1979.06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12</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程保华</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1984.04</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13</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彭桂力</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1981.03</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14</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康广玉</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1975.6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2019.01-2022.12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15</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高瑞</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1984.01</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16</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董明</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1981.01</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17</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张静梅</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1983.07</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18</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庞毅</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1984.08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19</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杜静娟</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1979.06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20</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张立阳</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1987.08</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21</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刁亮</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1989.12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22</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陈伟芬</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1967.02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23</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孙红跃</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1975.06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24</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顾贵芬</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1973.04</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25</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王秀丽</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1977.01</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26</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胡林芳</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1980.06</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27</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乔蕾</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1980.07</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28</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陈建伟</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女</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1981.12</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26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sz w:val="21"/>
                <w:szCs w:val="21"/>
              </w:rPr>
            </w:pPr>
            <w:r>
              <w:rPr>
                <w:rFonts w:hint="eastAsia" w:ascii="仿宋" w:hAnsi="仿宋" w:eastAsia="仿宋" w:cs="宋体"/>
                <w:sz w:val="21"/>
                <w:szCs w:val="21"/>
              </w:rPr>
              <w:t>29</w:t>
            </w:r>
          </w:p>
        </w:tc>
        <w:tc>
          <w:tcPr>
            <w:tcW w:w="563"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王贝贝</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ascii="仿宋" w:hAnsi="仿宋" w:eastAsia="仿宋" w:cs="宋体"/>
              </w:rPr>
              <w:t>男</w:t>
            </w:r>
          </w:p>
        </w:tc>
        <w:tc>
          <w:tcPr>
            <w:tcW w:w="662"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1983.05</w:t>
            </w:r>
          </w:p>
        </w:tc>
        <w:tc>
          <w:tcPr>
            <w:tcW w:w="579"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讲师</w:t>
            </w:r>
          </w:p>
        </w:tc>
        <w:tc>
          <w:tcPr>
            <w:tcW w:w="414"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中国</w:t>
            </w:r>
          </w:p>
        </w:tc>
        <w:tc>
          <w:tcPr>
            <w:tcW w:w="580" w:type="pct"/>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天津城建大学</w:t>
            </w:r>
          </w:p>
        </w:tc>
        <w:tc>
          <w:tcPr>
            <w:tcW w:w="662" w:type="pct"/>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cs="宋体"/>
              </w:rPr>
            </w:pPr>
            <w:r>
              <w:rPr>
                <w:rFonts w:hint="eastAsia" w:ascii="仿宋" w:hAnsi="仿宋" w:eastAsia="仿宋" w:cs="宋体"/>
              </w:rPr>
              <w:t>校内兼职人员</w:t>
            </w:r>
          </w:p>
        </w:tc>
        <w:tc>
          <w:tcPr>
            <w:tcW w:w="856" w:type="pct"/>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仿宋" w:hAnsi="仿宋" w:eastAsia="仿宋" w:cs="宋体"/>
              </w:rPr>
            </w:pPr>
            <w:r>
              <w:rPr>
                <w:rFonts w:hint="eastAsia" w:ascii="仿宋" w:hAnsi="仿宋" w:eastAsia="仿宋" w:cs="宋体"/>
              </w:rPr>
              <w:t>2019.10-2024.10</w:t>
            </w:r>
          </w:p>
        </w:tc>
      </w:tr>
    </w:tbl>
    <w:p>
      <w:pPr>
        <w:spacing w:before="163" w:beforeLines="50"/>
        <w:ind w:firstLine="480" w:firstLineChars="200"/>
        <w:rPr>
          <w:rFonts w:ascii="楷体" w:hAnsi="楷体" w:eastAsia="楷体"/>
        </w:rPr>
      </w:pPr>
      <w:r>
        <w:rPr>
          <w:rFonts w:hint="eastAsia" w:ascii="楷体" w:hAnsi="楷体" w:eastAsia="楷体"/>
        </w:rPr>
        <w:t>注：（1）流动人员包括校内兼职人员、行业企业人员、海内外合作教学人员等。（2）工作期限：在示范中心工作的协议起止时间。</w:t>
      </w:r>
    </w:p>
    <w:p>
      <w:pPr>
        <w:spacing w:before="163" w:beforeLines="50" w:after="163" w:afterLines="50"/>
        <w:ind w:firstLine="560" w:firstLineChars="200"/>
        <w:rPr>
          <w:rFonts w:hint="eastAsia" w:ascii="黑体" w:hAnsi="黑体" w:eastAsia="黑体" w:cs="仿宋_GB2312"/>
          <w:bCs/>
          <w:sz w:val="28"/>
          <w:szCs w:val="28"/>
        </w:rPr>
      </w:pPr>
      <w:r>
        <w:rPr>
          <w:rFonts w:hint="eastAsia" w:ascii="黑体" w:hAnsi="黑体" w:eastAsia="黑体"/>
          <w:sz w:val="28"/>
          <w:szCs w:val="28"/>
        </w:rPr>
        <w:t>（三）本年度</w:t>
      </w:r>
      <w:r>
        <w:rPr>
          <w:rFonts w:hint="eastAsia" w:ascii="黑体" w:hAnsi="黑体" w:eastAsia="黑体" w:cs="仿宋_GB2312"/>
          <w:bCs/>
          <w:sz w:val="28"/>
          <w:szCs w:val="28"/>
        </w:rPr>
        <w:t>教学指导委员会人员情况</w:t>
      </w:r>
    </w:p>
    <w:tbl>
      <w:tblPr>
        <w:tblStyle w:val="7"/>
        <w:tblW w:w="8516" w:type="dxa"/>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75"/>
        <w:gridCol w:w="851"/>
        <w:gridCol w:w="709"/>
        <w:gridCol w:w="850"/>
        <w:gridCol w:w="932"/>
        <w:gridCol w:w="705"/>
        <w:gridCol w:w="705"/>
        <w:gridCol w:w="1192"/>
        <w:gridCol w:w="705"/>
        <w:gridCol w:w="119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06"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姓名</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性别</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出生年份</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职称</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职务</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国别</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工作单位</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类型</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1</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苏刚</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1969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主任委员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hint="eastAsia" w:ascii="楷体" w:hAnsi="楷体" w:eastAsia="楷体"/>
                <w:sz w:val="21"/>
                <w:szCs w:val="21"/>
              </w:rPr>
            </w:pPr>
            <w:r>
              <w:rPr>
                <w:rFonts w:hint="eastAsia" w:ascii="楷体" w:hAnsi="楷体" w:eastAsia="楷体"/>
                <w:sz w:val="21"/>
                <w:szCs w:val="21"/>
              </w:rPr>
              <w:t>2</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王首彬</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hint="eastAsia" w:ascii="仿宋" w:hAnsi="仿宋" w:eastAsia="仿宋"/>
                <w:sz w:val="21"/>
                <w:szCs w:val="21"/>
              </w:rPr>
            </w:pPr>
            <w:r>
              <w:rPr>
                <w:rFonts w:hint="eastAsia" w:ascii="仿宋" w:hAnsi="仿宋" w:eastAsia="仿宋"/>
                <w:sz w:val="21"/>
                <w:szCs w:val="21"/>
              </w:rPr>
              <w:t>1979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3</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王雪光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1974</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4</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潘雷</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1981</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5</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罗春丽</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1983</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6</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李建军</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1969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7</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戈文琪</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1986</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8</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王悦</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1975</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讲师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35" w:hRule="atLeast"/>
        </w:trPr>
        <w:tc>
          <w:tcPr>
            <w:tcW w:w="67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楷体" w:hAnsi="楷体" w:eastAsia="楷体"/>
                <w:sz w:val="21"/>
                <w:szCs w:val="21"/>
              </w:rPr>
            </w:pPr>
            <w:r>
              <w:rPr>
                <w:rFonts w:hint="eastAsia" w:ascii="楷体" w:hAnsi="楷体" w:eastAsia="楷体"/>
                <w:sz w:val="21"/>
                <w:szCs w:val="21"/>
              </w:rPr>
              <w:t>9</w:t>
            </w:r>
          </w:p>
        </w:tc>
        <w:tc>
          <w:tcPr>
            <w:tcW w:w="85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陈冰</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女</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1979</w:t>
            </w:r>
          </w:p>
        </w:tc>
        <w:tc>
          <w:tcPr>
            <w:tcW w:w="93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讲师</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委员</w:t>
            </w:r>
          </w:p>
        </w:tc>
        <w:tc>
          <w:tcPr>
            <w:tcW w:w="705"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中国</w:t>
            </w:r>
          </w:p>
        </w:tc>
        <w:tc>
          <w:tcPr>
            <w:tcW w:w="11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天津城建大学</w:t>
            </w:r>
          </w:p>
        </w:tc>
        <w:tc>
          <w:tcPr>
            <w:tcW w:w="705"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校内专家</w:t>
            </w:r>
          </w:p>
        </w:tc>
        <w:tc>
          <w:tcPr>
            <w:tcW w:w="1192"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jc w:val="center"/>
            </w:pPr>
            <w:r>
              <w:rPr>
                <w:rFonts w:hint="eastAsia" w:ascii="楷体" w:hAnsi="楷体" w:eastAsia="楷体"/>
                <w:sz w:val="21"/>
                <w:szCs w:val="21"/>
              </w:rPr>
              <w:t>1</w:t>
            </w:r>
          </w:p>
        </w:tc>
      </w:tr>
    </w:tbl>
    <w:p>
      <w:pPr>
        <w:spacing w:before="163" w:beforeLines="50"/>
        <w:ind w:firstLine="480" w:firstLineChars="200"/>
        <w:rPr>
          <w:rFonts w:ascii="楷体" w:hAnsi="楷体" w:eastAsia="楷体" w:cs="仿宋_GB2312"/>
          <w:bCs/>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8"/>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986"/>
        <w:gridCol w:w="3350"/>
        <w:gridCol w:w="1603"/>
        <w:gridCol w:w="1458"/>
        <w:gridCol w:w="1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97" w:hRule="atLeast"/>
          <w:jc w:val="center"/>
        </w:trPr>
        <w:tc>
          <w:tcPr>
            <w:tcW w:w="986" w:type="dxa"/>
            <w:vMerge w:val="restart"/>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4953" w:type="dxa"/>
            <w:gridSpan w:val="2"/>
            <w:shd w:val="clear" w:color="auto" w:fill="FFFFFF" w:themeFill="background1"/>
            <w:vAlign w:val="center"/>
          </w:tcPr>
          <w:p>
            <w:pPr>
              <w:jc w:val="center"/>
              <w:rPr>
                <w:rFonts w:ascii="黑体" w:hAnsi="黑体" w:eastAsia="黑体" w:cs="宋体"/>
              </w:rPr>
            </w:pPr>
            <w:r>
              <w:rPr>
                <w:rFonts w:hint="eastAsia" w:ascii="黑体" w:hAnsi="黑体" w:eastAsia="黑体" w:cs="宋体"/>
              </w:rPr>
              <w:t>面向的专业</w:t>
            </w:r>
          </w:p>
        </w:tc>
        <w:tc>
          <w:tcPr>
            <w:tcW w:w="1458" w:type="dxa"/>
            <w:vMerge w:val="restart"/>
            <w:shd w:val="clear" w:color="auto" w:fill="FFFFFF" w:themeFill="background1"/>
            <w:vAlign w:val="center"/>
          </w:tcPr>
          <w:p>
            <w:pPr>
              <w:jc w:val="center"/>
              <w:rPr>
                <w:rFonts w:ascii="黑体" w:hAnsi="黑体" w:eastAsia="黑体" w:cs="宋体"/>
              </w:rPr>
            </w:pPr>
            <w:r>
              <w:rPr>
                <w:rFonts w:hint="eastAsia" w:ascii="黑体" w:hAnsi="黑体" w:eastAsia="黑体" w:cs="宋体"/>
              </w:rPr>
              <w:t>学生人数</w:t>
            </w:r>
          </w:p>
        </w:tc>
        <w:tc>
          <w:tcPr>
            <w:tcW w:w="1119" w:type="dxa"/>
            <w:vMerge w:val="restart"/>
            <w:shd w:val="clear" w:color="auto" w:fill="FFFFFF" w:themeFill="background1"/>
            <w:vAlign w:val="center"/>
          </w:tcPr>
          <w:p>
            <w:pPr>
              <w:jc w:val="center"/>
              <w:rPr>
                <w:rFonts w:ascii="黑体" w:hAnsi="黑体" w:eastAsia="黑体" w:cs="宋体"/>
              </w:rPr>
            </w:pPr>
            <w:r>
              <w:rPr>
                <w:rFonts w:hint="eastAsia" w:ascii="黑体" w:hAnsi="黑体" w:eastAsia="黑体" w:cs="宋体"/>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61" w:hRule="atLeast"/>
          <w:jc w:val="center"/>
        </w:trPr>
        <w:tc>
          <w:tcPr>
            <w:tcW w:w="986" w:type="dxa"/>
            <w:vMerge w:val="continue"/>
            <w:shd w:val="clear" w:color="auto" w:fill="FFFFFF" w:themeFill="background1"/>
            <w:vAlign w:val="center"/>
          </w:tcPr>
          <w:p>
            <w:pPr>
              <w:jc w:val="center"/>
              <w:rPr>
                <w:rFonts w:ascii="黑体" w:hAnsi="黑体" w:eastAsia="黑体" w:cs="宋体"/>
              </w:rPr>
            </w:pPr>
          </w:p>
        </w:tc>
        <w:tc>
          <w:tcPr>
            <w:tcW w:w="3350" w:type="dxa"/>
            <w:shd w:val="clear" w:color="auto" w:fill="FFFFFF" w:themeFill="background1"/>
            <w:vAlign w:val="center"/>
          </w:tcPr>
          <w:p>
            <w:pPr>
              <w:jc w:val="center"/>
              <w:rPr>
                <w:rFonts w:ascii="黑体" w:hAnsi="黑体" w:eastAsia="黑体" w:cs="宋体"/>
              </w:rPr>
            </w:pPr>
            <w:r>
              <w:rPr>
                <w:rFonts w:hint="eastAsia" w:ascii="黑体" w:hAnsi="黑体" w:eastAsia="黑体" w:cs="宋体"/>
              </w:rPr>
              <w:t>专业名称</w:t>
            </w:r>
          </w:p>
        </w:tc>
        <w:tc>
          <w:tcPr>
            <w:tcW w:w="1603" w:type="dxa"/>
            <w:shd w:val="clear" w:color="auto" w:fill="FFFFFF" w:themeFill="background1"/>
            <w:vAlign w:val="center"/>
          </w:tcPr>
          <w:p>
            <w:pPr>
              <w:jc w:val="center"/>
              <w:rPr>
                <w:rFonts w:ascii="黑体" w:hAnsi="黑体" w:eastAsia="黑体" w:cs="宋体"/>
              </w:rPr>
            </w:pPr>
            <w:r>
              <w:rPr>
                <w:rFonts w:hint="eastAsia" w:ascii="黑体" w:hAnsi="黑体" w:eastAsia="黑体" w:cs="宋体"/>
              </w:rPr>
              <w:t>年级</w:t>
            </w:r>
          </w:p>
        </w:tc>
        <w:tc>
          <w:tcPr>
            <w:tcW w:w="1458" w:type="dxa"/>
            <w:vMerge w:val="continue"/>
            <w:shd w:val="clear" w:color="auto" w:fill="FFFFFF" w:themeFill="background1"/>
            <w:vAlign w:val="center"/>
          </w:tcPr>
          <w:p>
            <w:pPr>
              <w:adjustRightInd w:val="0"/>
              <w:snapToGrid w:val="0"/>
              <w:jc w:val="center"/>
              <w:rPr>
                <w:rFonts w:ascii="仿宋" w:hAnsi="仿宋" w:eastAsia="仿宋"/>
                <w:sz w:val="21"/>
                <w:szCs w:val="21"/>
              </w:rPr>
            </w:pPr>
          </w:p>
        </w:tc>
        <w:tc>
          <w:tcPr>
            <w:tcW w:w="1119" w:type="dxa"/>
            <w:vMerge w:val="continue"/>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电气工程及其自动化</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17级、18级、19级、20级</w:t>
            </w:r>
          </w:p>
        </w:tc>
        <w:tc>
          <w:tcPr>
            <w:tcW w:w="1458" w:type="dxa"/>
            <w:shd w:val="clear" w:color="auto" w:fill="FFFFFF" w:themeFill="background1"/>
            <w:vAlign w:val="center"/>
          </w:tcPr>
          <w:p>
            <w:pPr>
              <w:jc w:val="center"/>
              <w:rPr>
                <w:rFonts w:ascii="仿宋" w:hAnsi="仿宋" w:eastAsia="仿宋"/>
                <w:b/>
                <w:bCs/>
                <w:sz w:val="28"/>
                <w:szCs w:val="28"/>
              </w:rPr>
            </w:pPr>
            <w:r>
              <w:rPr>
                <w:rFonts w:hint="eastAsia" w:ascii="黑体" w:hAnsi="黑体" w:eastAsia="黑体"/>
                <w:bCs/>
              </w:rPr>
              <w:t>273</w:t>
            </w:r>
          </w:p>
        </w:tc>
        <w:tc>
          <w:tcPr>
            <w:tcW w:w="1119" w:type="dxa"/>
            <w:shd w:val="clear" w:color="auto" w:fill="FFFFFF" w:themeFill="background1"/>
            <w:vAlign w:val="center"/>
          </w:tcPr>
          <w:p>
            <w:pPr>
              <w:jc w:val="center"/>
              <w:rPr>
                <w:rFonts w:ascii="仿宋" w:hAnsi="仿宋" w:eastAsia="仿宋"/>
                <w:b/>
                <w:bCs/>
                <w:sz w:val="28"/>
                <w:szCs w:val="28"/>
              </w:rPr>
            </w:pPr>
            <w:r>
              <w:rPr>
                <w:rFonts w:hint="eastAsia" w:ascii="黑体" w:hAnsi="黑体" w:eastAsia="黑体"/>
                <w:bCs/>
              </w:rPr>
              <w:t>10458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自动化</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18级、19级、20级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199</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7594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建筑电气与智能化</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17级、18级、19级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206</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7650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电子信息工程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62</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992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电子信息科学与技术</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59</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944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机械设计制造及其自动化</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66</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1056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机械电子工程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18级、19级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141</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2816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8</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工业设计</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21级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60</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480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9</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无机非金属材料工程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21级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71</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568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10</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安全工程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69</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552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11</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能源与动力工程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132</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1056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12</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建筑环境与能源应用工程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204</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1632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13</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材料科学与工程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141</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1128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14</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高分子材料与工程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70</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560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15</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环境工程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128</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1024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53" w:hRule="atLeast"/>
          <w:jc w:val="center"/>
        </w:trPr>
        <w:tc>
          <w:tcPr>
            <w:tcW w:w="98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16</w:t>
            </w:r>
          </w:p>
        </w:tc>
        <w:tc>
          <w:tcPr>
            <w:tcW w:w="33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给排水科学与工程</w:t>
            </w:r>
          </w:p>
        </w:tc>
        <w:tc>
          <w:tcPr>
            <w:tcW w:w="160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19级</w:t>
            </w:r>
          </w:p>
        </w:tc>
        <w:tc>
          <w:tcPr>
            <w:tcW w:w="1458" w:type="dxa"/>
            <w:shd w:val="clear" w:color="auto" w:fill="FFFFFF" w:themeFill="background1"/>
            <w:vAlign w:val="center"/>
          </w:tcPr>
          <w:p>
            <w:pPr>
              <w:jc w:val="center"/>
              <w:rPr>
                <w:rFonts w:ascii="黑体" w:hAnsi="黑体" w:eastAsia="黑体"/>
                <w:bCs/>
              </w:rPr>
            </w:pPr>
            <w:r>
              <w:rPr>
                <w:rFonts w:hint="eastAsia" w:ascii="黑体" w:hAnsi="黑体" w:eastAsia="黑体"/>
                <w:bCs/>
              </w:rPr>
              <w:t>205</w:t>
            </w:r>
          </w:p>
        </w:tc>
        <w:tc>
          <w:tcPr>
            <w:tcW w:w="1119" w:type="dxa"/>
            <w:shd w:val="clear" w:color="auto" w:fill="FFFFFF" w:themeFill="background1"/>
            <w:vAlign w:val="center"/>
          </w:tcPr>
          <w:p>
            <w:pPr>
              <w:jc w:val="center"/>
              <w:rPr>
                <w:rFonts w:ascii="黑体" w:hAnsi="黑体" w:eastAsia="黑体"/>
                <w:bCs/>
              </w:rPr>
            </w:pPr>
            <w:r>
              <w:rPr>
                <w:rFonts w:hint="eastAsia" w:ascii="黑体" w:hAnsi="黑体" w:eastAsia="黑体"/>
                <w:bCs/>
              </w:rPr>
              <w:t>1640</w:t>
            </w:r>
          </w:p>
        </w:tc>
      </w:tr>
    </w:tbl>
    <w:p>
      <w:pPr>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8"/>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4478"/>
        <w:gridCol w:w="40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实验项目资源总数</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141个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年度开设实验项目数</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94个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年度独立设课的实验课程</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2门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实验教材总数</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1种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5"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年度新增实验教材</w:t>
            </w:r>
          </w:p>
        </w:tc>
        <w:tc>
          <w:tcPr>
            <w:tcW w:w="4038" w:type="dxa"/>
            <w:shd w:val="clear" w:color="auto" w:fill="FFFFFF" w:themeFill="background1"/>
          </w:tcPr>
          <w:p>
            <w:pPr>
              <w:jc w:val="right"/>
              <w:rPr>
                <w:rFonts w:ascii="黑体" w:hAnsi="黑体" w:eastAsia="黑体"/>
                <w:bCs/>
              </w:rPr>
            </w:pPr>
            <w:r>
              <w:rPr>
                <w:rFonts w:hint="eastAsia" w:ascii="黑体" w:hAnsi="黑体" w:eastAsia="黑体"/>
                <w:bCs/>
              </w:rPr>
              <w:t>0种</w:t>
            </w:r>
          </w:p>
        </w:tc>
      </w:tr>
    </w:tbl>
    <w:p>
      <w:pPr>
        <w:ind w:firstLine="470" w:firstLineChars="196"/>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8"/>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4478"/>
        <w:gridCol w:w="40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51"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学生获奖人数</w:t>
            </w:r>
          </w:p>
        </w:tc>
        <w:tc>
          <w:tcPr>
            <w:tcW w:w="4038" w:type="dxa"/>
            <w:shd w:val="clear" w:color="auto" w:fill="FFFFFF" w:themeFill="background1"/>
            <w:vAlign w:val="center"/>
          </w:tcPr>
          <w:p>
            <w:pPr>
              <w:jc w:val="right"/>
              <w:rPr>
                <w:rFonts w:ascii="黑体" w:hAnsi="黑体" w:eastAsia="黑体"/>
                <w:bCs/>
              </w:rPr>
            </w:pPr>
            <w:r>
              <w:rPr>
                <w:rFonts w:hint="eastAsia" w:ascii="黑体" w:hAnsi="黑体" w:eastAsia="黑体"/>
                <w:bCs/>
              </w:rPr>
              <w:t>1人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51"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学生发表论文数</w:t>
            </w:r>
          </w:p>
        </w:tc>
        <w:tc>
          <w:tcPr>
            <w:tcW w:w="4038" w:type="dxa"/>
            <w:shd w:val="clear" w:color="auto" w:fill="FFFFFF" w:themeFill="background1"/>
            <w:vAlign w:val="center"/>
          </w:tcPr>
          <w:p>
            <w:pPr>
              <w:jc w:val="right"/>
              <w:rPr>
                <w:rFonts w:ascii="黑体" w:hAnsi="黑体" w:eastAsia="黑体"/>
                <w:bCs/>
              </w:rPr>
            </w:pPr>
            <w:r>
              <w:rPr>
                <w:rFonts w:hint="eastAsia" w:ascii="黑体" w:hAnsi="黑体" w:eastAsia="黑体"/>
                <w:bCs/>
              </w:rPr>
              <w:t>2篇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51" w:hRule="atLeast"/>
        </w:trPr>
        <w:tc>
          <w:tcPr>
            <w:tcW w:w="4478" w:type="dxa"/>
            <w:shd w:val="clear" w:color="auto" w:fill="FFFFFF" w:themeFill="background1"/>
            <w:vAlign w:val="center"/>
          </w:tcPr>
          <w:p>
            <w:pPr>
              <w:jc w:val="center"/>
              <w:rPr>
                <w:rFonts w:ascii="黑体" w:hAnsi="黑体" w:eastAsia="黑体"/>
                <w:bCs/>
              </w:rPr>
            </w:pPr>
            <w:r>
              <w:rPr>
                <w:rFonts w:hint="eastAsia" w:ascii="黑体" w:hAnsi="黑体" w:eastAsia="黑体"/>
                <w:bCs/>
              </w:rPr>
              <w:t>学生获得专利数</w:t>
            </w:r>
          </w:p>
        </w:tc>
        <w:tc>
          <w:tcPr>
            <w:tcW w:w="4038" w:type="dxa"/>
            <w:shd w:val="clear" w:color="auto" w:fill="FFFFFF" w:themeFill="background1"/>
            <w:vAlign w:val="center"/>
          </w:tcPr>
          <w:p>
            <w:pPr>
              <w:jc w:val="right"/>
              <w:rPr>
                <w:rFonts w:ascii="黑体" w:hAnsi="黑体" w:eastAsia="黑体"/>
                <w:bCs/>
              </w:rPr>
            </w:pPr>
            <w:r>
              <w:rPr>
                <w:rFonts w:hint="eastAsia" w:ascii="黑体" w:hAnsi="黑体" w:eastAsia="黑体"/>
                <w:bCs/>
              </w:rPr>
              <w:t>2项</w:t>
            </w:r>
          </w:p>
        </w:tc>
      </w:tr>
    </w:tbl>
    <w:p>
      <w:pPr>
        <w:ind w:firstLine="470" w:firstLineChars="196"/>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sz w:val="32"/>
          <w:szCs w:val="32"/>
        </w:rPr>
      </w:pPr>
      <w:r>
        <w:rPr>
          <w:rFonts w:hint="eastAsia" w:ascii="黑体" w:hAnsi="黑体" w:eastAsia="黑体"/>
          <w:b/>
          <w:bCs/>
          <w:sz w:val="32"/>
          <w:szCs w:val="32"/>
        </w:rPr>
        <w:t>四、教学改革与科学研究情况</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7"/>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23"/>
        <w:gridCol w:w="1512"/>
        <w:gridCol w:w="708"/>
        <w:gridCol w:w="851"/>
        <w:gridCol w:w="1417"/>
        <w:gridCol w:w="1276"/>
        <w:gridCol w:w="1134"/>
        <w:gridCol w:w="8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jc w:val="center"/>
        </w:trPr>
        <w:tc>
          <w:tcPr>
            <w:tcW w:w="723"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序号</w:t>
            </w:r>
          </w:p>
        </w:tc>
        <w:tc>
          <w:tcPr>
            <w:tcW w:w="1512"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项目/</w:t>
            </w:r>
          </w:p>
          <w:p>
            <w:pPr>
              <w:adjustRightInd w:val="0"/>
              <w:snapToGrid w:val="0"/>
              <w:jc w:val="center"/>
              <w:rPr>
                <w:rFonts w:ascii="黑体" w:hAnsi="黑体" w:eastAsia="黑体"/>
              </w:rPr>
            </w:pPr>
            <w:r>
              <w:rPr>
                <w:rFonts w:hint="eastAsia" w:ascii="黑体" w:hAnsi="黑体" w:eastAsia="黑体" w:cs="宋体"/>
              </w:rPr>
              <w:t>课题名称</w:t>
            </w:r>
          </w:p>
        </w:tc>
        <w:tc>
          <w:tcPr>
            <w:tcW w:w="708"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文号</w:t>
            </w:r>
          </w:p>
        </w:tc>
        <w:tc>
          <w:tcPr>
            <w:tcW w:w="851"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负责人</w:t>
            </w:r>
          </w:p>
        </w:tc>
        <w:tc>
          <w:tcPr>
            <w:tcW w:w="1417"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参加人员</w:t>
            </w:r>
          </w:p>
        </w:tc>
        <w:tc>
          <w:tcPr>
            <w:tcW w:w="127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起止时间</w:t>
            </w:r>
          </w:p>
        </w:tc>
        <w:tc>
          <w:tcPr>
            <w:tcW w:w="1134" w:type="dxa"/>
            <w:shd w:val="clear" w:color="auto" w:fill="FFFFFF" w:themeFill="background1"/>
            <w:vAlign w:val="center"/>
          </w:tcPr>
          <w:p>
            <w:pPr>
              <w:adjustRightInd w:val="0"/>
              <w:snapToGrid w:val="0"/>
              <w:jc w:val="center"/>
              <w:rPr>
                <w:rFonts w:hint="eastAsia" w:ascii="黑体" w:hAnsi="黑体" w:eastAsia="黑体" w:cs="宋体"/>
              </w:rPr>
            </w:pPr>
            <w:r>
              <w:rPr>
                <w:rFonts w:hint="eastAsia" w:ascii="黑体" w:hAnsi="黑体" w:eastAsia="黑体" w:cs="宋体"/>
              </w:rPr>
              <w:t>经费</w:t>
            </w:r>
          </w:p>
          <w:p>
            <w:pPr>
              <w:adjustRightInd w:val="0"/>
              <w:snapToGrid w:val="0"/>
              <w:jc w:val="center"/>
              <w:rPr>
                <w:rFonts w:ascii="黑体" w:hAnsi="黑体" w:eastAsia="黑体"/>
              </w:rPr>
            </w:pPr>
            <w:r>
              <w:rPr>
                <w:rFonts w:hint="eastAsia" w:ascii="黑体" w:hAnsi="黑体" w:eastAsia="黑体" w:cs="宋体"/>
              </w:rPr>
              <w:t>（</w:t>
            </w:r>
            <w:r>
              <w:rPr>
                <w:rFonts w:hint="eastAsia" w:ascii="黑体" w:hAnsi="黑体" w:eastAsia="黑体" w:cs="仿宋_GB2312"/>
              </w:rPr>
              <w:t>万元</w:t>
            </w:r>
            <w:r>
              <w:rPr>
                <w:rFonts w:hint="eastAsia" w:ascii="黑体" w:hAnsi="黑体" w:eastAsia="黑体" w:cs="宋体"/>
              </w:rPr>
              <w:t>）</w:t>
            </w:r>
          </w:p>
        </w:tc>
        <w:tc>
          <w:tcPr>
            <w:tcW w:w="895"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115" w:hRule="atLeast"/>
          <w:jc w:val="center"/>
        </w:trPr>
        <w:tc>
          <w:tcPr>
            <w:tcW w:w="723" w:type="dxa"/>
            <w:shd w:val="clear" w:color="auto" w:fill="FFFFFF" w:themeFill="background1"/>
            <w:vAlign w:val="center"/>
          </w:tcPr>
          <w:p>
            <w:pPr>
              <w:adjustRightInd w:val="0"/>
              <w:snapToGrid w:val="0"/>
              <w:jc w:val="center"/>
              <w:rPr>
                <w:rFonts w:ascii="仿宋" w:hAnsi="仿宋" w:eastAsia="仿宋" w:cstheme="minorEastAsia"/>
                <w:sz w:val="21"/>
                <w:szCs w:val="21"/>
              </w:rPr>
            </w:pPr>
            <w:r>
              <w:rPr>
                <w:rFonts w:hint="eastAsia" w:ascii="仿宋" w:hAnsi="仿宋" w:eastAsia="仿宋" w:cstheme="minorEastAsia"/>
                <w:sz w:val="21"/>
                <w:szCs w:val="21"/>
              </w:rPr>
              <w:t>1</w:t>
            </w:r>
          </w:p>
        </w:tc>
        <w:tc>
          <w:tcPr>
            <w:tcW w:w="1512" w:type="dxa"/>
            <w:shd w:val="clear" w:color="auto" w:fill="FFFFFF" w:themeFill="background1"/>
            <w:vAlign w:val="center"/>
          </w:tcPr>
          <w:p>
            <w:pPr>
              <w:widowControl/>
              <w:rPr>
                <w:rFonts w:ascii="仿宋" w:hAnsi="仿宋" w:eastAsia="仿宋" w:cstheme="minorEastAsia"/>
                <w:sz w:val="21"/>
                <w:szCs w:val="21"/>
              </w:rPr>
            </w:pPr>
            <w:r>
              <w:rPr>
                <w:rFonts w:hint="eastAsia" w:ascii="仿宋" w:hAnsi="仿宋" w:eastAsia="仿宋" w:cstheme="minorEastAsia"/>
                <w:sz w:val="21"/>
                <w:szCs w:val="21"/>
              </w:rPr>
              <w:t>基于虚实结合智能型实验技术的电工技术实验平台建设与应用</w:t>
            </w:r>
          </w:p>
        </w:tc>
        <w:tc>
          <w:tcPr>
            <w:tcW w:w="708" w:type="dxa"/>
            <w:shd w:val="clear" w:color="auto" w:fill="FFFFFF" w:themeFill="background1"/>
            <w:vAlign w:val="center"/>
          </w:tcPr>
          <w:p>
            <w:pPr>
              <w:adjustRightInd w:val="0"/>
              <w:snapToGrid w:val="0"/>
              <w:rPr>
                <w:rFonts w:ascii="仿宋" w:hAnsi="仿宋" w:eastAsia="仿宋" w:cstheme="minorEastAsia"/>
                <w:sz w:val="21"/>
                <w:szCs w:val="21"/>
              </w:rPr>
            </w:pPr>
          </w:p>
        </w:tc>
        <w:tc>
          <w:tcPr>
            <w:tcW w:w="851" w:type="dxa"/>
            <w:shd w:val="clear" w:color="auto" w:fill="FFFFFF" w:themeFill="background1"/>
            <w:vAlign w:val="center"/>
          </w:tcPr>
          <w:p>
            <w:pPr>
              <w:adjustRightInd w:val="0"/>
              <w:snapToGrid w:val="0"/>
              <w:rPr>
                <w:rFonts w:ascii="仿宋" w:hAnsi="仿宋" w:eastAsia="仿宋" w:cstheme="minorEastAsia"/>
                <w:sz w:val="21"/>
                <w:szCs w:val="21"/>
              </w:rPr>
            </w:pPr>
            <w:r>
              <w:rPr>
                <w:rFonts w:ascii="仿宋" w:hAnsi="仿宋" w:eastAsia="仿宋" w:cstheme="minorEastAsia"/>
                <w:sz w:val="21"/>
                <w:szCs w:val="21"/>
              </w:rPr>
              <w:t>李梅</w:t>
            </w:r>
          </w:p>
        </w:tc>
        <w:tc>
          <w:tcPr>
            <w:tcW w:w="1417" w:type="dxa"/>
            <w:shd w:val="clear" w:color="auto" w:fill="FFFFFF" w:themeFill="background1"/>
            <w:vAlign w:val="center"/>
          </w:tcPr>
          <w:p>
            <w:pPr>
              <w:adjustRightInd w:val="0"/>
              <w:snapToGrid w:val="0"/>
              <w:rPr>
                <w:rFonts w:ascii="仿宋" w:hAnsi="仿宋" w:eastAsia="仿宋" w:cstheme="minorEastAsia"/>
                <w:sz w:val="21"/>
                <w:szCs w:val="21"/>
              </w:rPr>
            </w:pPr>
          </w:p>
        </w:tc>
        <w:tc>
          <w:tcPr>
            <w:tcW w:w="1276" w:type="dxa"/>
            <w:shd w:val="clear" w:color="auto" w:fill="FFFFFF" w:themeFill="background1"/>
            <w:vAlign w:val="center"/>
          </w:tcPr>
          <w:p>
            <w:pPr>
              <w:adjustRightInd w:val="0"/>
              <w:snapToGrid w:val="0"/>
              <w:rPr>
                <w:rFonts w:ascii="仿宋" w:hAnsi="仿宋" w:eastAsia="仿宋" w:cstheme="minorEastAsia"/>
                <w:sz w:val="21"/>
                <w:szCs w:val="21"/>
              </w:rPr>
            </w:pPr>
            <w:r>
              <w:rPr>
                <w:rFonts w:hint="eastAsia" w:ascii="仿宋" w:hAnsi="仿宋" w:eastAsia="仿宋" w:cstheme="minorEastAsia"/>
                <w:sz w:val="21"/>
                <w:szCs w:val="21"/>
              </w:rPr>
              <w:t>2021.01-</w:t>
            </w:r>
          </w:p>
          <w:p>
            <w:pPr>
              <w:adjustRightInd w:val="0"/>
              <w:snapToGrid w:val="0"/>
              <w:rPr>
                <w:rFonts w:ascii="仿宋" w:hAnsi="仿宋" w:eastAsia="仿宋" w:cstheme="minorEastAsia"/>
                <w:sz w:val="21"/>
                <w:szCs w:val="21"/>
              </w:rPr>
            </w:pPr>
            <w:r>
              <w:rPr>
                <w:rFonts w:hint="eastAsia" w:ascii="仿宋" w:hAnsi="仿宋" w:eastAsia="仿宋" w:cstheme="minorEastAsia"/>
                <w:sz w:val="21"/>
                <w:szCs w:val="21"/>
              </w:rPr>
              <w:t>2021.12</w:t>
            </w:r>
          </w:p>
        </w:tc>
        <w:tc>
          <w:tcPr>
            <w:tcW w:w="1134" w:type="dxa"/>
            <w:shd w:val="clear" w:color="auto" w:fill="FFFFFF" w:themeFill="background1"/>
            <w:vAlign w:val="center"/>
          </w:tcPr>
          <w:p>
            <w:pPr>
              <w:adjustRightInd w:val="0"/>
              <w:snapToGrid w:val="0"/>
              <w:rPr>
                <w:rFonts w:ascii="仿宋" w:hAnsi="仿宋" w:eastAsia="仿宋" w:cstheme="minorEastAsia"/>
                <w:sz w:val="21"/>
                <w:szCs w:val="21"/>
              </w:rPr>
            </w:pPr>
            <w:r>
              <w:rPr>
                <w:rFonts w:hint="eastAsia" w:ascii="仿宋" w:hAnsi="仿宋" w:eastAsia="仿宋" w:cstheme="minorEastAsia"/>
                <w:sz w:val="21"/>
                <w:szCs w:val="21"/>
              </w:rPr>
              <w:t>10</w:t>
            </w:r>
          </w:p>
        </w:tc>
        <w:tc>
          <w:tcPr>
            <w:tcW w:w="895" w:type="dxa"/>
            <w:shd w:val="clear" w:color="auto" w:fill="FFFFFF" w:themeFill="background1"/>
            <w:vAlign w:val="center"/>
          </w:tcPr>
          <w:p>
            <w:pPr>
              <w:widowControl/>
              <w:rPr>
                <w:rFonts w:ascii="仿宋" w:hAnsi="仿宋" w:eastAsia="仿宋" w:cstheme="minorEastAsia"/>
                <w:sz w:val="21"/>
                <w:szCs w:val="21"/>
              </w:rPr>
            </w:pPr>
            <w:r>
              <w:rPr>
                <w:rFonts w:hint="eastAsia" w:ascii="仿宋" w:hAnsi="仿宋" w:eastAsia="仿宋" w:cstheme="minorEastAsia"/>
                <w:sz w:val="21"/>
                <w:szCs w:val="21"/>
              </w:rPr>
              <w:t>教育部产学合作协同育人项 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84" w:hRule="atLeast"/>
          <w:jc w:val="center"/>
        </w:trPr>
        <w:tc>
          <w:tcPr>
            <w:tcW w:w="723" w:type="dxa"/>
            <w:shd w:val="clear" w:color="auto" w:fill="FFFFFF" w:themeFill="background1"/>
            <w:vAlign w:val="center"/>
          </w:tcPr>
          <w:p>
            <w:pPr>
              <w:adjustRightInd w:val="0"/>
              <w:snapToGrid w:val="0"/>
              <w:jc w:val="center"/>
              <w:rPr>
                <w:rFonts w:ascii="仿宋" w:hAnsi="仿宋" w:eastAsia="仿宋" w:cstheme="minorEastAsia"/>
                <w:sz w:val="21"/>
                <w:szCs w:val="21"/>
              </w:rPr>
            </w:pPr>
            <w:r>
              <w:rPr>
                <w:rFonts w:hint="eastAsia" w:ascii="仿宋" w:hAnsi="仿宋" w:eastAsia="仿宋" w:cstheme="minorEastAsia"/>
                <w:sz w:val="21"/>
                <w:szCs w:val="21"/>
              </w:rPr>
              <w:t>2</w:t>
            </w:r>
          </w:p>
        </w:tc>
        <w:tc>
          <w:tcPr>
            <w:tcW w:w="1512" w:type="dxa"/>
            <w:shd w:val="clear" w:color="auto" w:fill="FFFFFF" w:themeFill="background1"/>
            <w:vAlign w:val="center"/>
          </w:tcPr>
          <w:p>
            <w:pPr>
              <w:widowControl/>
              <w:rPr>
                <w:rFonts w:ascii="仿宋" w:hAnsi="仿宋" w:eastAsia="仿宋" w:cstheme="minorEastAsia"/>
                <w:sz w:val="21"/>
                <w:szCs w:val="21"/>
              </w:rPr>
            </w:pPr>
            <w:r>
              <w:rPr>
                <w:rFonts w:hint="eastAsia" w:ascii="仿宋" w:hAnsi="仿宋" w:eastAsia="仿宋" w:cstheme="minorEastAsia"/>
                <w:sz w:val="21"/>
                <w:szCs w:val="21"/>
              </w:rPr>
              <w:t>电气安全</w:t>
            </w:r>
          </w:p>
        </w:tc>
        <w:tc>
          <w:tcPr>
            <w:tcW w:w="708" w:type="dxa"/>
            <w:shd w:val="clear" w:color="auto" w:fill="FFFFFF" w:themeFill="background1"/>
            <w:vAlign w:val="center"/>
          </w:tcPr>
          <w:p>
            <w:pPr>
              <w:adjustRightInd w:val="0"/>
              <w:snapToGrid w:val="0"/>
              <w:rPr>
                <w:rFonts w:ascii="仿宋" w:hAnsi="仿宋" w:eastAsia="仿宋" w:cstheme="minorEastAsia"/>
                <w:sz w:val="21"/>
                <w:szCs w:val="21"/>
              </w:rPr>
            </w:pPr>
          </w:p>
        </w:tc>
        <w:tc>
          <w:tcPr>
            <w:tcW w:w="851" w:type="dxa"/>
            <w:shd w:val="clear" w:color="auto" w:fill="FFFFFF" w:themeFill="background1"/>
            <w:vAlign w:val="center"/>
          </w:tcPr>
          <w:p>
            <w:pPr>
              <w:adjustRightInd w:val="0"/>
              <w:snapToGrid w:val="0"/>
              <w:rPr>
                <w:rFonts w:ascii="仿宋" w:hAnsi="仿宋" w:eastAsia="仿宋" w:cstheme="minorEastAsia"/>
                <w:sz w:val="21"/>
                <w:szCs w:val="21"/>
              </w:rPr>
            </w:pPr>
            <w:r>
              <w:rPr>
                <w:rFonts w:ascii="仿宋" w:hAnsi="仿宋" w:eastAsia="仿宋" w:cstheme="minorEastAsia"/>
                <w:sz w:val="21"/>
                <w:szCs w:val="21"/>
              </w:rPr>
              <w:t>郭福雁</w:t>
            </w:r>
          </w:p>
        </w:tc>
        <w:tc>
          <w:tcPr>
            <w:tcW w:w="1417" w:type="dxa"/>
            <w:shd w:val="clear" w:color="auto" w:fill="FFFFFF" w:themeFill="background1"/>
            <w:vAlign w:val="center"/>
          </w:tcPr>
          <w:p>
            <w:pPr>
              <w:adjustRightInd w:val="0"/>
              <w:snapToGrid w:val="0"/>
              <w:rPr>
                <w:rFonts w:ascii="仿宋" w:hAnsi="仿宋" w:eastAsia="仿宋" w:cstheme="minorEastAsia"/>
                <w:sz w:val="21"/>
                <w:szCs w:val="21"/>
              </w:rPr>
            </w:pPr>
            <w:r>
              <w:rPr>
                <w:rFonts w:hint="eastAsia" w:ascii="仿宋" w:hAnsi="仿宋" w:eastAsia="仿宋" w:cstheme="minorEastAsia"/>
                <w:sz w:val="21"/>
                <w:szCs w:val="21"/>
              </w:rPr>
              <w:t>王悦、任月清、陈建伟、乔蕾</w:t>
            </w:r>
          </w:p>
        </w:tc>
        <w:tc>
          <w:tcPr>
            <w:tcW w:w="1276" w:type="dxa"/>
            <w:shd w:val="clear" w:color="auto" w:fill="FFFFFF" w:themeFill="background1"/>
            <w:vAlign w:val="center"/>
          </w:tcPr>
          <w:p>
            <w:pPr>
              <w:adjustRightInd w:val="0"/>
              <w:snapToGrid w:val="0"/>
              <w:rPr>
                <w:rFonts w:ascii="仿宋" w:hAnsi="仿宋" w:eastAsia="仿宋" w:cstheme="minorEastAsia"/>
                <w:sz w:val="21"/>
                <w:szCs w:val="21"/>
              </w:rPr>
            </w:pPr>
            <w:r>
              <w:rPr>
                <w:rFonts w:hint="eastAsia" w:ascii="仿宋" w:hAnsi="仿宋" w:eastAsia="仿宋" w:cstheme="minorEastAsia"/>
                <w:sz w:val="21"/>
                <w:szCs w:val="21"/>
              </w:rPr>
              <w:t>2021.09-2023.09</w:t>
            </w:r>
          </w:p>
        </w:tc>
        <w:tc>
          <w:tcPr>
            <w:tcW w:w="1134" w:type="dxa"/>
            <w:shd w:val="clear" w:color="auto" w:fill="FFFFFF" w:themeFill="background1"/>
            <w:vAlign w:val="center"/>
          </w:tcPr>
          <w:p>
            <w:pPr>
              <w:adjustRightInd w:val="0"/>
              <w:snapToGrid w:val="0"/>
              <w:rPr>
                <w:rFonts w:ascii="仿宋" w:hAnsi="仿宋" w:eastAsia="仿宋" w:cstheme="minorEastAsia"/>
                <w:sz w:val="21"/>
                <w:szCs w:val="21"/>
              </w:rPr>
            </w:pPr>
          </w:p>
        </w:tc>
        <w:tc>
          <w:tcPr>
            <w:tcW w:w="895" w:type="dxa"/>
            <w:shd w:val="clear" w:color="auto" w:fill="FFFFFF" w:themeFill="background1"/>
            <w:vAlign w:val="center"/>
          </w:tcPr>
          <w:p>
            <w:pPr>
              <w:widowControl/>
              <w:rPr>
                <w:rFonts w:ascii="仿宋" w:hAnsi="仿宋" w:eastAsia="仿宋" w:cstheme="minorEastAsia"/>
                <w:sz w:val="21"/>
                <w:szCs w:val="21"/>
              </w:rPr>
            </w:pPr>
            <w:r>
              <w:rPr>
                <w:rFonts w:hint="eastAsia" w:ascii="仿宋" w:hAnsi="仿宋" w:eastAsia="仿宋" w:cstheme="minorEastAsia"/>
                <w:sz w:val="21"/>
                <w:szCs w:val="21"/>
              </w:rPr>
              <w:t>市级一流建设课程</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（1）此表填写省部级以上教学改革项目</w:t>
      </w:r>
      <w:r>
        <w:rPr>
          <w:rFonts w:ascii="楷体" w:hAnsi="楷体" w:eastAsia="楷体"/>
          <w:bCs/>
        </w:rPr>
        <w:t>（课题）名称：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负责人：必须是中心固定人员。</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类课题指以示范中心为主的课题；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cs="宋体"/>
          <w:sz w:val="28"/>
          <w:szCs w:val="28"/>
        </w:rPr>
        <w:t>（</w:t>
      </w:r>
      <w:r>
        <w:rPr>
          <w:rFonts w:hint="eastAsia" w:ascii="黑体" w:hAnsi="黑体" w:eastAsia="黑体" w:cs="宋体"/>
          <w:sz w:val="28"/>
          <w:szCs w:val="28"/>
          <w:lang w:val="en-US" w:eastAsia="zh-CN"/>
        </w:rPr>
        <w:t>二</w:t>
      </w:r>
      <w:r>
        <w:rPr>
          <w:rFonts w:hint="eastAsia" w:ascii="黑体" w:hAnsi="黑体" w:eastAsia="黑体" w:cs="宋体"/>
          <w:sz w:val="28"/>
          <w:szCs w:val="28"/>
        </w:rPr>
        <w:t>）</w:t>
      </w:r>
      <w:r>
        <w:rPr>
          <w:rFonts w:hint="eastAsia" w:ascii="黑体" w:hAnsi="黑体" w:eastAsia="黑体" w:cs="仿宋_GB2312"/>
          <w:bCs/>
          <w:sz w:val="28"/>
          <w:szCs w:val="28"/>
        </w:rPr>
        <w:t>研究成果</w:t>
      </w:r>
    </w:p>
    <w:p>
      <w:pPr>
        <w:spacing w:before="163" w:beforeLines="50" w:after="163" w:afterLines="50"/>
        <w:ind w:firstLine="480" w:firstLineChars="200"/>
        <w:rPr>
          <w:rFonts w:ascii="黑体" w:hAnsi="黑体" w:eastAsia="黑体"/>
        </w:rPr>
      </w:pPr>
      <w:r>
        <w:rPr>
          <w:rFonts w:hint="eastAsia" w:ascii="黑体" w:hAnsi="黑体" w:eastAsia="黑体" w:cs="仿宋_GB2312"/>
        </w:rPr>
        <w:t>1.专利情况</w:t>
      </w:r>
    </w:p>
    <w:tbl>
      <w:tblPr>
        <w:tblStyle w:val="7"/>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873"/>
        <w:gridCol w:w="1645"/>
        <w:gridCol w:w="1418"/>
        <w:gridCol w:w="1275"/>
        <w:gridCol w:w="1561"/>
        <w:gridCol w:w="872"/>
        <w:gridCol w:w="8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cantSplit/>
          <w:trHeight w:val="429" w:hRule="atLeast"/>
        </w:trPr>
        <w:tc>
          <w:tcPr>
            <w:tcW w:w="873"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645"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专利名称</w:t>
            </w:r>
          </w:p>
        </w:tc>
        <w:tc>
          <w:tcPr>
            <w:tcW w:w="141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专利授权号</w:t>
            </w:r>
          </w:p>
        </w:tc>
        <w:tc>
          <w:tcPr>
            <w:tcW w:w="1275"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获准国别</w:t>
            </w:r>
          </w:p>
        </w:tc>
        <w:tc>
          <w:tcPr>
            <w:tcW w:w="1561"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完成人</w:t>
            </w:r>
          </w:p>
        </w:tc>
        <w:tc>
          <w:tcPr>
            <w:tcW w:w="872"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872"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高速电机</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202110171397.0</w:t>
            </w:r>
          </w:p>
        </w:tc>
        <w:tc>
          <w:tcPr>
            <w:tcW w:w="1275"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杜静娟,黄新雨(学),赵坚,任红格,戈文祺,李朝江(学)</w:t>
            </w:r>
          </w:p>
        </w:tc>
        <w:tc>
          <w:tcPr>
            <w:tcW w:w="872"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发明专利</w:t>
            </w:r>
          </w:p>
        </w:tc>
        <w:tc>
          <w:tcPr>
            <w:tcW w:w="872"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一种九开关变换器电压空间矢量调制方法及系统</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ZL202010147043.8</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张静梅,潘雷,庞毅,王贝贝,徐东兴(学),李震(学)</w:t>
            </w:r>
          </w:p>
        </w:tc>
        <w:tc>
          <w:tcPr>
            <w:tcW w:w="872"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发明专利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一种健忘老人语音记事提醒器</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202021440383.1</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高瑞,潘雷,陈建伟,陈琢(学),李震(学),殷畅(学),吴子丰(学)</w:t>
            </w:r>
          </w:p>
        </w:tc>
        <w:tc>
          <w:tcPr>
            <w:tcW w:w="872"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046"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4</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一种自动巡检无人机无人值守机库</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202021440381.2</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高瑞,郭福雁,张宇(学),王铭宇(学)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5</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用于高速电机的定子</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202120363657.X</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杜静娟,黄新雨(学),赵坚,任红格,戈文祺,李朝江(学)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167"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6</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一种模块化智能控温太阳能热管阵列干燥装置</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202120075313.9</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苏刚,胡梦茹(学),姚万祥,张双羊(学),刘进军</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7</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一种发射吸附式智能越障擦窗机器人</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202020998054.2</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苏刚,张研(学),姚万祥,吴森起(学),席悦(学)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001"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8</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一种基于神经网络的电动助力转向系统</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202120956313.X</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朱琳,袁文聪(学),赵云雅(学)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9</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一种智能清扫机器人</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202021596535.7</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罗春丽,苏兴杰(学),杨智伟(学),闫卫国</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10</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一种重力辅助热管与热电冷却器相结合的散热柜</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202120627525.3</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苏刚,张研(学),姚万祥,田万峰(学),吴森起(学)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11</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一种空调出风构造</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202021864422.0</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程保华,由玉文,陈弘(外),杨国庆,李盟</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12</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一种多功能的智能灯控装置</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202120693916.5</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杨国庆,李波(外),李楚武(学),张嘉辉(学),王淞景(学),李盟,张慧(学),孙玉轩(学)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13</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一种基于2.4G通信探测智能移动装置</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202120733839.1</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杨国庆,李波(外),梁琨(学),林承康(学),王斅(学),李盟,张慧(学),杜敏(学)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14</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Method and system for optimal energy allocation of a hydrogen production station</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2021107028</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潘雷,孙鹤旭(外),董砚(外),庞毅,吴子丰(学),殷畅(学),李伟琳(学)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15</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FREQUENCY-LOCKED LOOP (FLL) DEVICE AND METHOD FOR ACTIVE NOISE CONTROL (ANC) BASED ON SIMPLIFIED COMB FILTER</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2021100247</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潘雷,孙鹤旭(外),徐东兴(学),张静梅,庞毅,陈建伟</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803" w:hRule="atLeast"/>
        </w:trPr>
        <w:tc>
          <w:tcPr>
            <w:tcW w:w="873" w:type="dxa"/>
            <w:shd w:val="clear" w:color="auto" w:fill="FFFFFF" w:themeFill="background1"/>
            <w:vAlign w:val="center"/>
          </w:tcPr>
          <w:p>
            <w:pPr>
              <w:adjustRightInd w:val="0"/>
              <w:snapToGrid w:val="0"/>
              <w:jc w:val="center"/>
              <w:rPr>
                <w:rFonts w:ascii="楷体" w:hAnsi="楷体" w:eastAsia="楷体" w:cs="宋体"/>
                <w:highlight w:val="yellow"/>
              </w:rPr>
            </w:pPr>
            <w:r>
              <w:rPr>
                <w:rFonts w:hint="eastAsia" w:ascii="楷体" w:hAnsi="楷体" w:eastAsia="楷体" w:cs="宋体"/>
              </w:rPr>
              <w:t>16</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超声测距小车软件系统V1.0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2021SR1934046</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齐利晓,王悦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17</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非接触智能电梯控制系统软件V1.0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2021SR0785219</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齐利晓,任月清,曹孟琪(学),李文远(学),刘锋(学)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733"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18</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数字FM收音机软件系统V1.0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2021SR1934482</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齐利晓,王悦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978"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19</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超声波热量计软件系统V1.0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2021SR1934481</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齐利晓,王悦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20</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LoRa 无线数据采集系统上位机配置软件 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2021SR0100710</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杨国庆,李波(学),赵会庆(外),程保华,张慧(学),杜敏(学)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21</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智能搬运机器人通信测试软件V1.0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2021R11L2889586</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高瑞,杨坤(外),罗俊杰(学),朱艳慧(学),张泽众(学)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22</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室内电源管控及语音提示系统软件</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2021SR0909209</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杨国庆,张慧(学),马学慧(学),张小瑜(学),杜敏(学),孙玉轩(学),陈富强(学)</w:t>
            </w:r>
          </w:p>
        </w:tc>
        <w:tc>
          <w:tcPr>
            <w:tcW w:w="872" w:type="dxa"/>
            <w:shd w:val="clear" w:color="auto" w:fill="FFFFFF" w:themeFill="background1"/>
            <w:vAlign w:val="center"/>
          </w:tcPr>
          <w:p>
            <w:pPr>
              <w:jc w:val="center"/>
            </w:pPr>
            <w:r>
              <w:rPr>
                <w:rFonts w:ascii="仿宋" w:hAnsi="仿宋" w:eastAsia="仿宋" w:cs="黑体"/>
                <w:sz w:val="21"/>
                <w:szCs w:val="21"/>
              </w:rPr>
              <w:t>实用新型专利</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23</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远程智能防盗报警软件系统</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2021SR0824537</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任月清,齐利晓,王悦,李文远(学)</w:t>
            </w:r>
          </w:p>
        </w:tc>
        <w:tc>
          <w:tcPr>
            <w:tcW w:w="872"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24</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室内微环境监测系统 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2021SR0100711</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杨国庆,张慧(学),李盟,杜敏(学),陈建辉,程保华,陈冰</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801"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25</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自动门控制软件系统V1.0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2021SR1934047</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齐利晓,王悦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26</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物联网+智能电机控制器运行状态监控管理系统V1.0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2021SR2119666</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苏刚,吴森起(学),张研(学),张双羊(学),胡梦茹(学)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27</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智能搬运机器人任务呼叫按钮软件V1.0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2021R11L2889269</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高瑞,杨坤(外),朱艳慧(学),张泽众(学)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761"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28</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IC卡智能水表软件系统V1.0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2021SR1934049</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齐利晓,王悦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2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29</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2.4G 通信探测智能小车上位机配置软件 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2021SR0253064</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杨国庆,梁琨(学),张慧(学),杜敏(学),李波(学),林承康(学),王斅(学)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120"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30</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风电生产质量监测评定分析软件</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2021SR1304362</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胡林芳,王悦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107"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31</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家用多功能遥控器软件系统V1.0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2021SR1934048</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齐利晓,王悦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831"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32</w:t>
            </w:r>
          </w:p>
        </w:tc>
        <w:tc>
          <w:tcPr>
            <w:tcW w:w="1645"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基于无线NB网络的数据采集器-NB芯片配置测试上位机软件V1.0</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2021SR1180907</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杨国庆,梁琨(学),陈富强(学),张慧(学),张小瑜(学),马学慧(学)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552"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33</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口罩佩戴安全识别预警报警上位机系统软件 V1.0</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2021SR0651226</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杨国庆,银朝乾(学),张慧(学),杜敏(学),张小瑜(学),孙玉轩(学),马学慧(学)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509"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34</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室内彩灯及窗帘控制系统软件</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2021SR1616585</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杨国庆,张慧(学),马学慧(学),张小瑜(学),杜敏(学),孙玉轩(学),陈富强(学)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201"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35</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沥青路面裂缝检测系统V1.0</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2021R11L3586285</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王莉静,孙泽然(学),李鸿江(学),郝璇(学),魏士淳(学),史启航(学)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214"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36</w:t>
            </w:r>
          </w:p>
        </w:tc>
        <w:tc>
          <w:tcPr>
            <w:tcW w:w="1645"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施工升降机预防性维护系统V1.0</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2021R11L3514575</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王莉静,郝璇(学),戴远东(学),李鸿江(学),赵海盟(学),孙泽然(学)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395"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37</w:t>
            </w:r>
          </w:p>
        </w:tc>
        <w:tc>
          <w:tcPr>
            <w:tcW w:w="1645" w:type="dxa"/>
            <w:shd w:val="clear" w:color="auto" w:fill="FFFFFF" w:themeFill="background1"/>
            <w:vAlign w:val="center"/>
          </w:tcPr>
          <w:p>
            <w:pPr>
              <w:rPr>
                <w:rFonts w:ascii="仿宋" w:hAnsi="仿宋" w:eastAsia="仿宋" w:cs="黑体"/>
                <w:sz w:val="21"/>
                <w:szCs w:val="21"/>
              </w:rPr>
            </w:pPr>
            <w:r>
              <w:rPr>
                <w:rFonts w:ascii="仿宋" w:hAnsi="仿宋" w:eastAsia="仿宋" w:cs="黑体"/>
                <w:sz w:val="21"/>
                <w:szCs w:val="21"/>
              </w:rPr>
              <w:t>基于C/S(云端)模式的机器人控制系统软件V1.0</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2021SR0253063</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杨国庆,张慧(学),丁旺(学),杜敏(学),张小瑜(学),孙玉轩(学),马学慧(学)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392"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38</w:t>
            </w:r>
          </w:p>
        </w:tc>
        <w:tc>
          <w:tcPr>
            <w:tcW w:w="1645" w:type="dxa"/>
            <w:shd w:val="clear" w:color="auto" w:fill="FFFFFF" w:themeFill="background1"/>
            <w:vAlign w:val="center"/>
          </w:tcPr>
          <w:p>
            <w:pPr>
              <w:rPr>
                <w:rFonts w:ascii="仿宋" w:hAnsi="仿宋" w:eastAsia="仿宋" w:cs="黑体"/>
                <w:sz w:val="21"/>
                <w:szCs w:val="21"/>
              </w:rPr>
            </w:pPr>
            <w:r>
              <w:rPr>
                <w:rFonts w:ascii="仿宋" w:hAnsi="仿宋" w:eastAsia="仿宋" w:cs="黑体"/>
                <w:sz w:val="21"/>
                <w:szCs w:val="21"/>
              </w:rPr>
              <w:t>城市管网智能井盖预警云管理系统V1.0</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2021SR1692707</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杨国庆,李楚武(学),何振豪(学),孙柯伟(学),李子康(学),刘冬辉(学),张慧(学),张小瑜(学),马学慧(学),尹志强(学)</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116"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39</w:t>
            </w:r>
          </w:p>
        </w:tc>
        <w:tc>
          <w:tcPr>
            <w:tcW w:w="1645" w:type="dxa"/>
            <w:shd w:val="clear" w:color="auto" w:fill="FFFFFF" w:themeFill="background1"/>
            <w:vAlign w:val="center"/>
          </w:tcPr>
          <w:p>
            <w:pPr>
              <w:rPr>
                <w:rFonts w:ascii="仿宋" w:hAnsi="仿宋" w:eastAsia="仿宋" w:cs="黑体"/>
                <w:sz w:val="21"/>
                <w:szCs w:val="21"/>
              </w:rPr>
            </w:pPr>
            <w:r>
              <w:rPr>
                <w:rFonts w:ascii="仿宋" w:hAnsi="仿宋" w:eastAsia="仿宋" w:cs="黑体"/>
                <w:sz w:val="21"/>
                <w:szCs w:val="21"/>
              </w:rPr>
              <w:t>风电质量指数管理系统</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2021SR1774004</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胡林芳,任月清</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40</w:t>
            </w:r>
          </w:p>
        </w:tc>
        <w:tc>
          <w:tcPr>
            <w:tcW w:w="1645" w:type="dxa"/>
            <w:shd w:val="clear" w:color="auto" w:fill="FFFFFF" w:themeFill="background1"/>
            <w:vAlign w:val="center"/>
          </w:tcPr>
          <w:p>
            <w:pPr>
              <w:rPr>
                <w:rFonts w:ascii="仿宋" w:hAnsi="仿宋" w:eastAsia="仿宋" w:cs="黑体"/>
                <w:sz w:val="21"/>
                <w:szCs w:val="21"/>
              </w:rPr>
            </w:pPr>
            <w:r>
              <w:rPr>
                <w:rFonts w:ascii="仿宋" w:hAnsi="仿宋" w:eastAsia="仿宋" w:cs="黑体"/>
                <w:sz w:val="21"/>
                <w:szCs w:val="21"/>
              </w:rPr>
              <w:t>建筑施工生产区可视化监控系统</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2021R11L2603049</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胡林芳</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264" w:hRule="atLeast"/>
        </w:trPr>
        <w:tc>
          <w:tcPr>
            <w:tcW w:w="873" w:type="dxa"/>
            <w:shd w:val="clear" w:color="auto" w:fill="FFFFFF" w:themeFill="background1"/>
            <w:vAlign w:val="center"/>
          </w:tcPr>
          <w:p>
            <w:pPr>
              <w:adjustRightInd w:val="0"/>
              <w:snapToGrid w:val="0"/>
              <w:jc w:val="center"/>
              <w:rPr>
                <w:rFonts w:ascii="楷体" w:hAnsi="楷体" w:eastAsia="楷体" w:cs="宋体"/>
              </w:rPr>
            </w:pPr>
            <w:r>
              <w:rPr>
                <w:rFonts w:hint="eastAsia" w:ascii="楷体" w:hAnsi="楷体" w:eastAsia="楷体" w:cs="宋体"/>
              </w:rPr>
              <w:t>41</w:t>
            </w:r>
          </w:p>
        </w:tc>
        <w:tc>
          <w:tcPr>
            <w:tcW w:w="1645" w:type="dxa"/>
            <w:shd w:val="clear" w:color="auto" w:fill="FFFFFF" w:themeFill="background1"/>
            <w:vAlign w:val="center"/>
          </w:tcPr>
          <w:p>
            <w:pPr>
              <w:rPr>
                <w:rFonts w:ascii="仿宋" w:hAnsi="仿宋" w:eastAsia="仿宋" w:cs="黑体"/>
                <w:sz w:val="21"/>
                <w:szCs w:val="21"/>
              </w:rPr>
            </w:pPr>
            <w:r>
              <w:rPr>
                <w:rFonts w:ascii="仿宋" w:hAnsi="仿宋" w:eastAsia="仿宋" w:cs="黑体"/>
                <w:sz w:val="21"/>
                <w:szCs w:val="21"/>
              </w:rPr>
              <w:t>住宅区域能源消耗分项计量分析软件</w:t>
            </w:r>
          </w:p>
        </w:tc>
        <w:tc>
          <w:tcPr>
            <w:tcW w:w="1418"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2021SR1774294</w:t>
            </w:r>
          </w:p>
        </w:tc>
        <w:tc>
          <w:tcPr>
            <w:tcW w:w="1275" w:type="dxa"/>
            <w:shd w:val="clear" w:color="auto" w:fill="FFFFFF" w:themeFill="background1"/>
            <w:vAlign w:val="center"/>
          </w:tcPr>
          <w:p>
            <w:pPr>
              <w:jc w:val="center"/>
            </w:pPr>
            <w:r>
              <w:rPr>
                <w:rFonts w:ascii="仿宋" w:hAnsi="仿宋" w:eastAsia="仿宋" w:cs="黑体"/>
                <w:sz w:val="21"/>
                <w:szCs w:val="21"/>
              </w:rPr>
              <w:t>中国</w:t>
            </w:r>
          </w:p>
        </w:tc>
        <w:tc>
          <w:tcPr>
            <w:tcW w:w="1561" w:type="dxa"/>
            <w:shd w:val="clear" w:color="auto" w:fill="FFFFFF" w:themeFill="background1"/>
            <w:vAlign w:val="center"/>
          </w:tcPr>
          <w:p>
            <w:pPr>
              <w:jc w:val="center"/>
              <w:rPr>
                <w:rFonts w:ascii="仿宋" w:hAnsi="仿宋" w:eastAsia="仿宋" w:cs="黑体"/>
                <w:sz w:val="21"/>
                <w:szCs w:val="21"/>
              </w:rPr>
            </w:pPr>
            <w:r>
              <w:rPr>
                <w:rFonts w:ascii="仿宋" w:hAnsi="仿宋" w:eastAsia="仿宋" w:cs="黑体"/>
                <w:sz w:val="21"/>
                <w:szCs w:val="21"/>
              </w:rPr>
              <w:t>胡林芳,任月清</w:t>
            </w:r>
          </w:p>
        </w:tc>
        <w:tc>
          <w:tcPr>
            <w:tcW w:w="872" w:type="dxa"/>
            <w:shd w:val="clear" w:color="auto" w:fill="FFFFFF" w:themeFill="background1"/>
            <w:vAlign w:val="center"/>
          </w:tcPr>
          <w:p>
            <w:pPr>
              <w:jc w:val="center"/>
            </w:pPr>
            <w:r>
              <w:rPr>
                <w:rFonts w:ascii="仿宋" w:hAnsi="仿宋" w:eastAsia="仿宋" w:cs="黑体"/>
                <w:sz w:val="21"/>
                <w:szCs w:val="21"/>
              </w:rPr>
              <w:t>软著</w:t>
            </w:r>
          </w:p>
        </w:tc>
        <w:tc>
          <w:tcPr>
            <w:tcW w:w="872" w:type="dxa"/>
            <w:shd w:val="clear" w:color="auto" w:fill="FFFFFF" w:themeFill="background1"/>
            <w:vAlign w:val="center"/>
          </w:tcPr>
          <w:p>
            <w:pPr>
              <w:jc w:val="center"/>
            </w:pPr>
            <w:r>
              <w:rPr>
                <w:rFonts w:ascii="仿宋" w:hAnsi="仿宋" w:eastAsia="仿宋" w:cs="黑体"/>
                <w:sz w:val="21"/>
                <w:szCs w:val="21"/>
              </w:rPr>
              <w:t>独立完成</w:t>
            </w:r>
          </w:p>
        </w:tc>
      </w:tr>
    </w:tbl>
    <w:p>
      <w:pPr>
        <w:spacing w:before="163" w:beforeLines="50"/>
        <w:ind w:left="2" w:leftChars="1" w:firstLine="480" w:firstLineChars="200"/>
        <w:rPr>
          <w:rFonts w:hint="eastAsia" w:ascii="楷体" w:hAnsi="楷体" w:eastAsia="楷体" w:cs="宋体"/>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ascii="楷体" w:hAnsi="楷体" w:eastAsia="楷体" w:cs="仿宋_GB2312"/>
        </w:rPr>
        <w:t>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人员（含固定人员和流动人员），多个中心完成人只需填写靠前的一位，排名在类别中体现</w:t>
      </w:r>
      <w:r>
        <w:rPr>
          <w:rFonts w:ascii="楷体" w:hAnsi="楷体" w:eastAsia="楷体" w:cs="仿宋_GB2312"/>
        </w:rPr>
        <w:t>。</w:t>
      </w:r>
      <w:r>
        <w:rPr>
          <w:rFonts w:hint="eastAsia" w:ascii="楷体" w:hAnsi="楷体" w:eastAsia="楷体" w:cs="仿宋_GB2312"/>
        </w:rPr>
        <w:t>（4）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ind w:left="2" w:leftChars="1" w:firstLine="480" w:firstLineChars="200"/>
        <w:rPr>
          <w:rFonts w:hint="eastAsia" w:ascii="楷体" w:hAnsi="楷体" w:eastAsia="楷体" w:cs="宋体"/>
        </w:rPr>
      </w:pPr>
    </w:p>
    <w:p>
      <w:pPr>
        <w:spacing w:before="163" w:beforeLines="50"/>
        <w:ind w:left="2" w:leftChars="1" w:firstLine="480" w:firstLineChars="200"/>
        <w:rPr>
          <w:rFonts w:hint="eastAsia" w:ascii="楷体" w:hAnsi="楷体" w:eastAsia="楷体" w:cs="宋体"/>
        </w:rPr>
      </w:pPr>
    </w:p>
    <w:p>
      <w:pPr>
        <w:spacing w:before="163" w:beforeLines="50"/>
        <w:ind w:left="2" w:leftChars="1" w:firstLine="480" w:firstLineChars="200"/>
        <w:rPr>
          <w:rFonts w:hint="eastAsia" w:ascii="楷体" w:hAnsi="楷体" w:eastAsia="楷体" w:cs="宋体"/>
        </w:rPr>
      </w:pPr>
    </w:p>
    <w:p>
      <w:pPr>
        <w:spacing w:before="163" w:beforeLines="50"/>
        <w:ind w:left="2" w:leftChars="1" w:firstLine="480" w:firstLineChars="200"/>
        <w:rPr>
          <w:rFonts w:hint="eastAsia" w:ascii="楷体" w:hAnsi="楷体" w:eastAsia="楷体" w:cs="宋体"/>
        </w:rPr>
      </w:pPr>
    </w:p>
    <w:p>
      <w:pPr>
        <w:spacing w:before="163" w:beforeLines="50"/>
        <w:ind w:left="2" w:leftChars="1" w:firstLine="480" w:firstLineChars="200"/>
        <w:rPr>
          <w:rFonts w:hint="eastAsia" w:ascii="楷体" w:hAnsi="楷体" w:eastAsia="楷体" w:cs="宋体"/>
        </w:rPr>
      </w:pPr>
    </w:p>
    <w:p>
      <w:pPr>
        <w:spacing w:before="163" w:beforeLines="50"/>
        <w:ind w:left="2" w:leftChars="1" w:firstLine="480" w:firstLineChars="200"/>
        <w:rPr>
          <w:rFonts w:hint="eastAsia" w:ascii="楷体" w:hAnsi="楷体" w:eastAsia="楷体" w:cs="宋体"/>
        </w:rPr>
      </w:pPr>
    </w:p>
    <w:p>
      <w:pPr>
        <w:spacing w:before="163" w:beforeLines="50"/>
        <w:ind w:left="2" w:leftChars="1" w:firstLine="480" w:firstLineChars="200"/>
        <w:rPr>
          <w:rFonts w:ascii="楷体" w:hAnsi="楷体" w:eastAsia="楷体" w:cs="仿宋_GB2312"/>
        </w:rPr>
      </w:pP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2.发表论文、专著情况</w:t>
      </w:r>
    </w:p>
    <w:tbl>
      <w:tblPr>
        <w:tblStyle w:val="7"/>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53"/>
        <w:gridCol w:w="2190"/>
        <w:gridCol w:w="1418"/>
        <w:gridCol w:w="1417"/>
        <w:gridCol w:w="1232"/>
        <w:gridCol w:w="753"/>
        <w:gridCol w:w="7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753"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2190"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论文或</w:t>
            </w:r>
          </w:p>
          <w:p>
            <w:pPr>
              <w:adjustRightInd w:val="0"/>
              <w:snapToGrid w:val="0"/>
              <w:jc w:val="center"/>
              <w:rPr>
                <w:rFonts w:ascii="黑体" w:hAnsi="黑体" w:eastAsia="黑体" w:cs="宋体"/>
              </w:rPr>
            </w:pPr>
            <w:r>
              <w:rPr>
                <w:rFonts w:hint="eastAsia" w:ascii="黑体" w:hAnsi="黑体" w:eastAsia="黑体" w:cs="宋体"/>
              </w:rPr>
              <w:t>专著名称</w:t>
            </w:r>
          </w:p>
        </w:tc>
        <w:tc>
          <w:tcPr>
            <w:tcW w:w="141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作者</w:t>
            </w:r>
          </w:p>
        </w:tc>
        <w:tc>
          <w:tcPr>
            <w:tcW w:w="1417"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刊物、出版社名称</w:t>
            </w:r>
          </w:p>
        </w:tc>
        <w:tc>
          <w:tcPr>
            <w:tcW w:w="1232"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卷、期</w:t>
            </w:r>
          </w:p>
          <w:p>
            <w:pPr>
              <w:adjustRightInd w:val="0"/>
              <w:snapToGrid w:val="0"/>
              <w:jc w:val="center"/>
              <w:rPr>
                <w:rFonts w:ascii="黑体" w:hAnsi="黑体" w:eastAsia="黑体" w:cs="宋体"/>
              </w:rPr>
            </w:pPr>
            <w:r>
              <w:rPr>
                <w:rFonts w:hint="eastAsia" w:ascii="黑体" w:hAnsi="黑体" w:eastAsia="黑体" w:cs="宋体"/>
              </w:rPr>
              <w:t>（或章节）、页</w:t>
            </w:r>
          </w:p>
        </w:tc>
        <w:tc>
          <w:tcPr>
            <w:tcW w:w="753"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753" w:type="dxa"/>
            <w:shd w:val="clear" w:color="auto" w:fill="FFFFFF" w:themeFill="background1"/>
            <w:vAlign w:val="center"/>
          </w:tcPr>
          <w:p>
            <w:pPr>
              <w:tabs>
                <w:tab w:val="left" w:pos="492"/>
              </w:tabs>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514"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Designing framework of hybrid photovoltaic-biowaste energy system with hydrogen storage considering economic and technical indices using</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孙红跃,A.G.Ebadi(外),M.Toughani (外),S.A.Nowdeh(外),A.Naderipour(外),A.Abdulah(外)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Energy</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一区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Modulation Method for Nine-Switch Converter based on Equivalent Mechanism between Nine-Switch Converter and Dual Six-Switch Converters</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张静梅,庞毅,王凯(学),徐东兴(学),潘雷</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IEEE TRANSACTIONS ON INDUSTRIAL ELECTRONICS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一区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3</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Recognition of Rock Micro-Fracture Signal Based on Deep Convolution Neural Network Inception Algorithm</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彭桂力,庹先国(外),沈统(外),陆景(外)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IEEE Access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二区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2396"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4</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Comprehensive analysis of winding electromagnetic force and deformation during no-load closing and short-circuiting of power transformers</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张臣臣(学),戈文祺,谢漪(学),李莺莺(外)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IEEE Access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二区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Microdome-Tunable Graphene/Carbon Nanotubes Pressure Sensors Based on Polystyrene Array for Wearable Electronics</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苏兴杰(学),罗春丽,闫卫国,焦君宜(学),钟东洲(外)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Materials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三区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6</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Adaptive multi-view image mosaic method for conveyor belt surface fault online detection</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高瑞,苗长云(外),苗笛(外),李现国(外)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Applied Sciences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三区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7</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Analysis of the Electromechanical Characteristics of Power Transformer under Different Residual Fluxes</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戈文祺,张臣臣(学),谢漪(学),于明,汪友华(外)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ENERGIES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三区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8</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Decomposition of rock micro-fracture signals based on a singular value empirical mode decomposition algorithm</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彭桂力,庹先国(外),李怀良(外),刘勇(外),沈统(外),陆景(外)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REVIEW OF SCIENTIFIC INSTRUMENTS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四区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9</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Advanced direct digital synthesis generator design for transuranic nuclide alpha spectrometry Pulses</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彭桂力,庹先国(外),李怀良(外),石睿(外)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Mathematical Problems in Engineering</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四区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10</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Active noise cancellation frequency</w:t>
            </w:r>
            <w:r>
              <w:rPr>
                <w:rFonts w:hint="eastAsia" w:ascii="MS Gothic" w:hAnsi="MS Gothic" w:eastAsia="MS Gothic" w:cs="MS Gothic"/>
                <w:sz w:val="21"/>
                <w:szCs w:val="21"/>
              </w:rPr>
              <w:t>‑</w:t>
            </w:r>
            <w:r>
              <w:rPr>
                <w:rFonts w:ascii="仿宋" w:hAnsi="仿宋" w:eastAsia="仿宋" w:cs="黑体"/>
                <w:sz w:val="21"/>
                <w:szCs w:val="21"/>
              </w:rPr>
              <w:t>locked loop with</w:t>
            </w:r>
            <w:r>
              <w:rPr>
                <w:rFonts w:hint="eastAsia" w:ascii="宋体" w:hAnsi="宋体" w:eastAsia="宋体" w:cs="宋体"/>
                <w:sz w:val="21"/>
                <w:szCs w:val="21"/>
              </w:rPr>
              <w:t> </w:t>
            </w:r>
            <w:r>
              <w:rPr>
                <w:rFonts w:ascii="仿宋" w:hAnsi="仿宋" w:eastAsia="仿宋" w:cs="黑体"/>
                <w:sz w:val="21"/>
                <w:szCs w:val="21"/>
              </w:rPr>
              <w:t>a</w:t>
            </w:r>
            <w:r>
              <w:rPr>
                <w:rFonts w:hint="eastAsia" w:ascii="宋体" w:hAnsi="宋体" w:eastAsia="宋体" w:cs="宋体"/>
                <w:sz w:val="21"/>
                <w:szCs w:val="21"/>
              </w:rPr>
              <w:t> </w:t>
            </w:r>
            <w:r>
              <w:rPr>
                <w:rFonts w:ascii="仿宋" w:hAnsi="仿宋" w:eastAsia="仿宋" w:cs="黑体"/>
                <w:sz w:val="21"/>
                <w:szCs w:val="21"/>
              </w:rPr>
              <w:t>notch filte</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潘雷,徐东兴(学),张静梅,殷畅(学),吴子丰(学),郭英军(外)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Journal of Power Electronics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四区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11</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Model predictive control of</w:t>
            </w:r>
            <w:r>
              <w:rPr>
                <w:rFonts w:hint="eastAsia" w:ascii="宋体" w:hAnsi="宋体" w:eastAsia="宋体" w:cs="宋体"/>
                <w:sz w:val="21"/>
                <w:szCs w:val="21"/>
              </w:rPr>
              <w:t> </w:t>
            </w:r>
            <w:r>
              <w:rPr>
                <w:rFonts w:ascii="仿宋" w:hAnsi="仿宋" w:eastAsia="仿宋" w:cs="黑体"/>
                <w:sz w:val="21"/>
                <w:szCs w:val="21"/>
              </w:rPr>
              <w:t>nine</w:t>
            </w:r>
            <w:r>
              <w:rPr>
                <w:rFonts w:hint="eastAsia" w:ascii="MS Gothic" w:hAnsi="MS Gothic" w:eastAsia="MS Gothic" w:cs="MS Gothic"/>
                <w:sz w:val="21"/>
                <w:szCs w:val="21"/>
              </w:rPr>
              <w:t>‑</w:t>
            </w:r>
            <w:r>
              <w:rPr>
                <w:rFonts w:ascii="仿宋" w:hAnsi="仿宋" w:eastAsia="仿宋" w:cs="黑体"/>
                <w:sz w:val="21"/>
                <w:szCs w:val="21"/>
              </w:rPr>
              <w:t>switch converter with</w:t>
            </w:r>
            <w:r>
              <w:rPr>
                <w:rFonts w:hint="eastAsia" w:ascii="宋体" w:hAnsi="宋体" w:eastAsia="宋体" w:cs="宋体"/>
                <w:sz w:val="21"/>
                <w:szCs w:val="21"/>
              </w:rPr>
              <w:t> </w:t>
            </w:r>
            <w:r>
              <w:rPr>
                <w:rFonts w:ascii="仿宋" w:hAnsi="仿宋" w:eastAsia="仿宋" w:cs="黑体"/>
                <w:sz w:val="21"/>
                <w:szCs w:val="21"/>
              </w:rPr>
              <w:t>output flter for</w:t>
            </w:r>
            <w:r>
              <w:rPr>
                <w:rFonts w:hint="eastAsia" w:ascii="宋体" w:hAnsi="宋体" w:eastAsia="宋体" w:cs="宋体"/>
                <w:sz w:val="21"/>
                <w:szCs w:val="21"/>
              </w:rPr>
              <w:t> </w:t>
            </w:r>
            <w:r>
              <w:rPr>
                <w:rFonts w:ascii="仿宋" w:hAnsi="仿宋" w:eastAsia="仿宋" w:cs="黑体"/>
                <w:sz w:val="21"/>
                <w:szCs w:val="21"/>
              </w:rPr>
              <w:t>independent control of</w:t>
            </w:r>
            <w:r>
              <w:rPr>
                <w:rFonts w:hint="eastAsia" w:ascii="宋体" w:hAnsi="宋体" w:eastAsia="宋体" w:cs="宋体"/>
                <w:sz w:val="21"/>
                <w:szCs w:val="21"/>
              </w:rPr>
              <w:t> </w:t>
            </w:r>
            <w:r>
              <w:rPr>
                <w:rFonts w:ascii="仿宋" w:hAnsi="仿宋" w:eastAsia="仿宋" w:cs="黑体"/>
                <w:sz w:val="21"/>
                <w:szCs w:val="21"/>
              </w:rPr>
              <w:t>two loads</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庞毅,张静梅,徐东兴(学),殷畅(学),吴子丰(学),孙鹤旭(外),潘雷</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Journal of Power Electronics</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四区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12</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Fault Diagnosis of Reciprocating Compressor Valve Based on Transfer Learning Convolutional Neural Network</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郭福雁,张延超(学),王悦,任培君(学),王萍(学)</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Mathematical Problems in Engineering</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SCI</w:t>
            </w:r>
          </w:p>
          <w:p>
            <w:pPr>
              <w:adjustRightInd w:val="0"/>
              <w:snapToGrid w:val="0"/>
              <w:jc w:val="center"/>
              <w:rPr>
                <w:rFonts w:ascii="仿宋" w:hAnsi="仿宋" w:eastAsia="仿宋" w:cs="黑体"/>
                <w:sz w:val="21"/>
                <w:szCs w:val="21"/>
              </w:rPr>
            </w:pPr>
            <w:r>
              <w:rPr>
                <w:rFonts w:hint="eastAsia" w:ascii="仿宋" w:hAnsi="仿宋" w:eastAsia="仿宋" w:cs="黑体"/>
                <w:sz w:val="21"/>
                <w:szCs w:val="21"/>
              </w:rPr>
              <w:t>四区</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13</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Edge and Feature Points Based Video Intra-frame Passive-blind Copy-paste Forgery Detection</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康广玉,Ya-Pei Feng(外),Ren-Kui Wang(外),Zhe-Ming Lu(外)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ascii="仿宋" w:hAnsi="仿宋" w:eastAsia="仿宋" w:cs="黑体"/>
                <w:sz w:val="21"/>
                <w:szCs w:val="21"/>
              </w:rPr>
              <w:t>Journal of Network Intelligence Taiwan Ubiquitous Information</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EI</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15" w:hRule="atLeast"/>
        </w:trPr>
        <w:tc>
          <w:tcPr>
            <w:tcW w:w="753"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14</w:t>
            </w:r>
          </w:p>
        </w:tc>
        <w:tc>
          <w:tcPr>
            <w:tcW w:w="2190"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基于模糊综合评价法的石化企业事故应急能力评估方法研究</w:t>
            </w:r>
          </w:p>
        </w:tc>
        <w:tc>
          <w:tcPr>
            <w:tcW w:w="1418"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王悦,刘阳(外),宋文华(外)</w:t>
            </w:r>
          </w:p>
        </w:tc>
        <w:tc>
          <w:tcPr>
            <w:tcW w:w="1417"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南开大学学报（自然科学版）</w:t>
            </w:r>
          </w:p>
        </w:tc>
        <w:tc>
          <w:tcPr>
            <w:tcW w:w="1232" w:type="dxa"/>
            <w:shd w:val="clear" w:color="auto" w:fill="FFFFFF" w:themeFill="background1"/>
            <w:vAlign w:val="center"/>
          </w:tcPr>
          <w:p>
            <w:pPr>
              <w:adjustRightInd w:val="0"/>
              <w:snapToGrid w:val="0"/>
              <w:jc w:val="center"/>
              <w:rPr>
                <w:rFonts w:ascii="仿宋" w:hAnsi="仿宋" w:eastAsia="仿宋" w:cs="黑体"/>
                <w:sz w:val="21"/>
                <w:szCs w:val="21"/>
              </w:rPr>
            </w:pP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CSCD</w:t>
            </w:r>
          </w:p>
        </w:tc>
        <w:tc>
          <w:tcPr>
            <w:tcW w:w="753" w:type="dxa"/>
            <w:shd w:val="clear" w:color="auto" w:fill="FFFFFF" w:themeFill="background1"/>
            <w:vAlign w:val="center"/>
          </w:tcPr>
          <w:p>
            <w:pPr>
              <w:adjustRightInd w:val="0"/>
              <w:snapToGrid w:val="0"/>
              <w:jc w:val="center"/>
              <w:rPr>
                <w:rFonts w:ascii="仿宋" w:hAnsi="仿宋" w:eastAsia="仿宋" w:cs="黑体"/>
                <w:sz w:val="21"/>
                <w:szCs w:val="21"/>
              </w:rPr>
            </w:pPr>
            <w:r>
              <w:rPr>
                <w:rFonts w:hint="eastAsia" w:ascii="仿宋" w:hAnsi="仿宋" w:eastAsia="仿宋" w:cs="黑体"/>
                <w:sz w:val="21"/>
                <w:szCs w:val="21"/>
              </w:rPr>
              <w:t>论文</w:t>
            </w:r>
          </w:p>
        </w:tc>
      </w:tr>
    </w:tbl>
    <w:p>
      <w:pPr>
        <w:spacing w:before="163" w:beforeLines="50" w:after="163" w:afterLines="50"/>
        <w:ind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cs="仿宋_GB2312"/>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多个作者只需填写中心成员靠前的一位，排名在类别中体现</w:t>
      </w:r>
      <w:r>
        <w:rPr>
          <w:rFonts w:ascii="楷体" w:hAnsi="楷体" w:eastAsia="楷体" w:cs="仿宋_GB2312"/>
        </w:rPr>
        <w:t>。</w:t>
      </w:r>
    </w:p>
    <w:p>
      <w:pPr>
        <w:spacing w:before="163" w:beforeLines="50" w:after="163" w:afterLines="50"/>
        <w:ind w:firstLine="480" w:firstLineChars="200"/>
        <w:rPr>
          <w:rFonts w:ascii="黑体" w:hAnsi="黑体" w:eastAsia="黑体"/>
        </w:rPr>
      </w:pPr>
      <w:r>
        <w:rPr>
          <w:rFonts w:hint="eastAsia" w:ascii="黑体" w:hAnsi="黑体" w:eastAsia="黑体" w:cs="仿宋_GB2312"/>
        </w:rPr>
        <w:t>3.仪器设备的研制和改装情况</w:t>
      </w:r>
    </w:p>
    <w:tbl>
      <w:tblPr>
        <w:tblStyle w:val="7"/>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98"/>
        <w:gridCol w:w="1397"/>
        <w:gridCol w:w="1310"/>
        <w:gridCol w:w="2095"/>
        <w:gridCol w:w="1621"/>
        <w:gridCol w:w="13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862" w:hRule="atLeast"/>
        </w:trPr>
        <w:tc>
          <w:tcPr>
            <w:tcW w:w="69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397"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1310"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2095" w:type="dxa"/>
            <w:shd w:val="clear" w:color="auto" w:fill="FFFFFF" w:themeFill="background1"/>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1621"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1395"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7" w:hRule="atLeast"/>
        </w:trPr>
        <w:tc>
          <w:tcPr>
            <w:tcW w:w="698" w:type="dxa"/>
            <w:shd w:val="clear" w:color="auto" w:fill="FFFFFF" w:themeFill="background1"/>
            <w:vAlign w:val="center"/>
          </w:tcPr>
          <w:p>
            <w:pPr>
              <w:adjustRightInd w:val="0"/>
              <w:snapToGrid w:val="0"/>
              <w:jc w:val="center"/>
              <w:rPr>
                <w:rFonts w:ascii="楷体" w:hAnsi="楷体" w:eastAsia="楷体"/>
              </w:rPr>
            </w:pPr>
          </w:p>
        </w:tc>
        <w:tc>
          <w:tcPr>
            <w:tcW w:w="1397" w:type="dxa"/>
            <w:shd w:val="clear" w:color="auto" w:fill="FFFFFF" w:themeFill="background1"/>
            <w:vAlign w:val="center"/>
          </w:tcPr>
          <w:p>
            <w:pPr>
              <w:adjustRightInd w:val="0"/>
              <w:snapToGrid w:val="0"/>
              <w:jc w:val="center"/>
              <w:rPr>
                <w:rFonts w:ascii="仿宋" w:hAnsi="仿宋" w:eastAsia="仿宋"/>
                <w:sz w:val="21"/>
                <w:szCs w:val="21"/>
              </w:rPr>
            </w:pPr>
          </w:p>
        </w:tc>
        <w:tc>
          <w:tcPr>
            <w:tcW w:w="1310" w:type="dxa"/>
            <w:shd w:val="clear" w:color="auto" w:fill="FFFFFF" w:themeFill="background1"/>
            <w:vAlign w:val="center"/>
          </w:tcPr>
          <w:p>
            <w:pPr>
              <w:adjustRightInd w:val="0"/>
              <w:snapToGrid w:val="0"/>
              <w:jc w:val="center"/>
              <w:rPr>
                <w:rFonts w:ascii="仿宋" w:hAnsi="仿宋" w:eastAsia="仿宋"/>
                <w:sz w:val="21"/>
                <w:szCs w:val="21"/>
              </w:rPr>
            </w:pPr>
          </w:p>
        </w:tc>
        <w:tc>
          <w:tcPr>
            <w:tcW w:w="2095" w:type="dxa"/>
            <w:shd w:val="clear" w:color="auto" w:fill="FFFFFF" w:themeFill="background1"/>
          </w:tcPr>
          <w:p>
            <w:pPr>
              <w:widowControl/>
              <w:topLinePunct/>
              <w:outlineLvl w:val="0"/>
              <w:rPr>
                <w:rFonts w:ascii="仿宋" w:hAnsi="仿宋" w:eastAsia="仿宋"/>
                <w:sz w:val="21"/>
                <w:szCs w:val="21"/>
              </w:rPr>
            </w:pPr>
          </w:p>
        </w:tc>
        <w:tc>
          <w:tcPr>
            <w:tcW w:w="1621" w:type="dxa"/>
            <w:shd w:val="clear" w:color="auto" w:fill="FFFFFF" w:themeFill="background1"/>
          </w:tcPr>
          <w:p>
            <w:pPr>
              <w:adjustRightInd w:val="0"/>
              <w:snapToGrid w:val="0"/>
              <w:rPr>
                <w:rFonts w:ascii="仿宋" w:hAnsi="仿宋" w:eastAsia="仿宋"/>
                <w:sz w:val="28"/>
                <w:szCs w:val="28"/>
              </w:rPr>
            </w:pPr>
          </w:p>
        </w:tc>
        <w:tc>
          <w:tcPr>
            <w:tcW w:w="1395" w:type="dxa"/>
            <w:shd w:val="clear" w:color="auto" w:fill="FFFFFF" w:themeFill="background1"/>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7" w:hRule="atLeast"/>
        </w:trPr>
        <w:tc>
          <w:tcPr>
            <w:tcW w:w="698" w:type="dxa"/>
            <w:shd w:val="clear" w:color="auto" w:fill="FFFFFF" w:themeFill="background1"/>
            <w:vAlign w:val="center"/>
          </w:tcPr>
          <w:p>
            <w:pPr>
              <w:adjustRightInd w:val="0"/>
              <w:snapToGrid w:val="0"/>
              <w:jc w:val="center"/>
              <w:rPr>
                <w:rFonts w:ascii="楷体" w:hAnsi="楷体" w:eastAsia="楷体"/>
              </w:rPr>
            </w:pPr>
          </w:p>
        </w:tc>
        <w:tc>
          <w:tcPr>
            <w:tcW w:w="1397" w:type="dxa"/>
            <w:shd w:val="clear" w:color="auto" w:fill="FFFFFF" w:themeFill="background1"/>
            <w:vAlign w:val="center"/>
          </w:tcPr>
          <w:p>
            <w:pPr>
              <w:adjustRightInd w:val="0"/>
              <w:snapToGrid w:val="0"/>
              <w:jc w:val="center"/>
              <w:rPr>
                <w:rFonts w:ascii="仿宋" w:hAnsi="仿宋" w:eastAsia="仿宋"/>
                <w:sz w:val="21"/>
                <w:szCs w:val="21"/>
              </w:rPr>
            </w:pPr>
          </w:p>
        </w:tc>
        <w:tc>
          <w:tcPr>
            <w:tcW w:w="1310" w:type="dxa"/>
            <w:shd w:val="clear" w:color="auto" w:fill="FFFFFF" w:themeFill="background1"/>
            <w:vAlign w:val="center"/>
          </w:tcPr>
          <w:p>
            <w:pPr>
              <w:adjustRightInd w:val="0"/>
              <w:snapToGrid w:val="0"/>
              <w:jc w:val="center"/>
              <w:rPr>
                <w:rFonts w:ascii="仿宋" w:hAnsi="仿宋" w:eastAsia="仿宋"/>
                <w:sz w:val="21"/>
                <w:szCs w:val="21"/>
              </w:rPr>
            </w:pPr>
          </w:p>
        </w:tc>
        <w:tc>
          <w:tcPr>
            <w:tcW w:w="2095" w:type="dxa"/>
            <w:shd w:val="clear" w:color="auto" w:fill="FFFFFF" w:themeFill="background1"/>
          </w:tcPr>
          <w:p>
            <w:pPr>
              <w:widowControl/>
              <w:topLinePunct/>
              <w:outlineLvl w:val="0"/>
              <w:rPr>
                <w:rFonts w:ascii="仿宋" w:hAnsi="仿宋" w:eastAsia="仿宋"/>
                <w:sz w:val="21"/>
                <w:szCs w:val="21"/>
              </w:rPr>
            </w:pPr>
          </w:p>
        </w:tc>
        <w:tc>
          <w:tcPr>
            <w:tcW w:w="1621" w:type="dxa"/>
            <w:shd w:val="clear" w:color="auto" w:fill="FFFFFF" w:themeFill="background1"/>
          </w:tcPr>
          <w:p>
            <w:pPr>
              <w:adjustRightInd w:val="0"/>
              <w:snapToGrid w:val="0"/>
              <w:rPr>
                <w:rFonts w:ascii="仿宋" w:hAnsi="仿宋" w:eastAsia="仿宋"/>
                <w:sz w:val="21"/>
                <w:szCs w:val="21"/>
              </w:rPr>
            </w:pPr>
          </w:p>
        </w:tc>
        <w:tc>
          <w:tcPr>
            <w:tcW w:w="1395" w:type="dxa"/>
            <w:shd w:val="clear" w:color="auto" w:fill="FFFFFF" w:themeFill="background1"/>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4.其它成果情况</w:t>
      </w:r>
    </w:p>
    <w:tbl>
      <w:tblPr>
        <w:tblStyle w:val="7"/>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4558"/>
        <w:gridCol w:w="39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名称</w:t>
            </w:r>
          </w:p>
        </w:tc>
        <w:tc>
          <w:tcPr>
            <w:tcW w:w="3958" w:type="dxa"/>
            <w:shd w:val="clear" w:color="auto" w:fill="FFFFFF" w:themeFill="background1"/>
            <w:vAlign w:val="center"/>
          </w:tcPr>
          <w:p>
            <w:pPr>
              <w:adjustRightInd w:val="0"/>
              <w:snapToGrid w:val="0"/>
              <w:jc w:val="center"/>
              <w:rPr>
                <w:rFonts w:ascii="黑体" w:hAnsi="黑体" w:eastAsia="黑体" w:cs="宋体"/>
              </w:rPr>
            </w:pPr>
            <w:r>
              <w:rPr>
                <w:rFonts w:hint="eastAsia" w:ascii="黑体" w:hAnsi="黑体" w:eastAsia="黑体" w:cs="宋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国内会议论文数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国际会议论文数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国内一般刊物发表论文数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3篇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省部委奖数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其它奖数</w:t>
            </w:r>
          </w:p>
        </w:tc>
        <w:tc>
          <w:tcPr>
            <w:tcW w:w="3958" w:type="dxa"/>
            <w:shd w:val="clear" w:color="auto" w:fill="FFFFFF" w:themeFill="background1"/>
            <w:vAlign w:val="center"/>
          </w:tcPr>
          <w:p>
            <w:pPr>
              <w:adjustRightInd w:val="0"/>
              <w:snapToGrid w:val="0"/>
              <w:jc w:val="right"/>
              <w:rPr>
                <w:rFonts w:ascii="楷体" w:hAnsi="楷体" w:eastAsia="楷体" w:cs="仿宋_GB2312"/>
              </w:rPr>
            </w:pPr>
            <w:r>
              <w:rPr>
                <w:rFonts w:hint="eastAsia" w:ascii="楷体" w:hAnsi="楷体" w:eastAsia="楷体" w:cs="仿宋_GB2312"/>
              </w:rPr>
              <w:t>0项</w:t>
            </w:r>
          </w:p>
        </w:tc>
      </w:tr>
    </w:tbl>
    <w:p>
      <w:pPr>
        <w:spacing w:before="163" w:beforeLines="50"/>
        <w:ind w:firstLine="480" w:firstLineChars="200"/>
        <w:rPr>
          <w:rFonts w:hint="eastAsia" w:ascii="楷体" w:hAnsi="楷体" w:eastAsia="楷体" w:cs="仿宋_GB2312"/>
        </w:rPr>
      </w:pPr>
      <w:r>
        <w:rPr>
          <w:rFonts w:hint="eastAsia" w:ascii="楷体" w:hAnsi="楷体" w:eastAsia="楷体" w:cs="仿宋_GB2312"/>
          <w:bCs/>
        </w:rPr>
        <w:t>注：国内一般刊物：</w:t>
      </w:r>
      <w:r>
        <w:rPr>
          <w:rFonts w:hint="eastAsia" w:ascii="楷体" w:hAnsi="楷体" w:eastAsia="楷体" w:cs="仿宋_GB2312"/>
        </w:rPr>
        <w:t xml:space="preserve">除“（三）2”以外的其他国内刊物，只填汇总数量。 </w:t>
      </w:r>
    </w:p>
    <w:p>
      <w:pPr>
        <w:spacing w:before="163" w:beforeLines="50"/>
        <w:rPr>
          <w:rFonts w:ascii="黑体" w:hAnsi="黑体" w:eastAsia="黑体"/>
          <w:b/>
          <w:sz w:val="32"/>
          <w:szCs w:val="32"/>
        </w:rPr>
      </w:pP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after="163" w:afterLines="50"/>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8"/>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3566"/>
        <w:gridCol w:w="1625"/>
        <w:gridCol w:w="33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中心网址</w:t>
            </w:r>
          </w:p>
        </w:tc>
        <w:tc>
          <w:tcPr>
            <w:tcW w:w="4950" w:type="dxa"/>
            <w:gridSpan w:val="2"/>
            <w:shd w:val="clear" w:color="auto" w:fill="FFFFFF" w:themeFill="background1"/>
            <w:vAlign w:val="center"/>
          </w:tcPr>
          <w:p>
            <w:pPr>
              <w:adjustRightInd w:val="0"/>
              <w:snapToGrid w:val="0"/>
              <w:jc w:val="center"/>
              <w:rPr>
                <w:rFonts w:ascii="仿宋" w:hAnsi="仿宋" w:eastAsia="仿宋"/>
                <w:sz w:val="21"/>
                <w:szCs w:val="21"/>
              </w:rPr>
            </w:pPr>
            <w:r>
              <w:rPr>
                <w:rFonts w:ascii="仿宋_GB2312" w:eastAsia="仿宋_GB2312"/>
                <w:b/>
                <w:spacing w:val="-10"/>
                <w:sz w:val="21"/>
                <w:szCs w:val="21"/>
              </w:rPr>
              <w:t>https://cm.tcu.edu.cn/info/2009/3553.htm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中心网址年度访问总量</w:t>
            </w:r>
          </w:p>
        </w:tc>
        <w:tc>
          <w:tcPr>
            <w:tcW w:w="4950" w:type="dxa"/>
            <w:gridSpan w:val="2"/>
            <w:shd w:val="clear" w:color="auto" w:fill="FFFFFF" w:themeFill="background1"/>
          </w:tcPr>
          <w:p>
            <w:pPr>
              <w:adjustRightInd w:val="0"/>
              <w:snapToGrid w:val="0"/>
              <w:jc w:val="right"/>
              <w:rPr>
                <w:rFonts w:ascii="仿宋" w:hAnsi="仿宋" w:eastAsia="仿宋"/>
                <w:sz w:val="28"/>
                <w:szCs w:val="28"/>
              </w:rPr>
            </w:pPr>
            <w:r>
              <w:rPr>
                <w:rFonts w:hint="eastAsia" w:ascii="仿宋" w:hAnsi="仿宋" w:eastAsia="仿宋"/>
                <w:sz w:val="28"/>
                <w:szCs w:val="28"/>
              </w:rPr>
              <w:t>800人次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信息化资源总量</w:t>
            </w:r>
          </w:p>
        </w:tc>
        <w:tc>
          <w:tcPr>
            <w:tcW w:w="4950" w:type="dxa"/>
            <w:gridSpan w:val="2"/>
            <w:shd w:val="clear" w:color="auto" w:fill="FFFFFF" w:themeFill="background1"/>
          </w:tcPr>
          <w:p>
            <w:pPr>
              <w:adjustRightInd w:val="0"/>
              <w:snapToGrid w:val="0"/>
              <w:jc w:val="right"/>
              <w:rPr>
                <w:rFonts w:ascii="Times New Roman" w:hAnsi="Times New Roman" w:eastAsia="仿宋" w:cs="Times New Roman"/>
                <w:sz w:val="28"/>
                <w:szCs w:val="28"/>
              </w:rPr>
            </w:pPr>
            <w:r>
              <w:rPr>
                <w:rFonts w:hint="eastAsia" w:ascii="Times New Roman" w:hAnsi="Times New Roman" w:eastAsia="仿宋" w:cs="Times New Roman"/>
                <w:sz w:val="28"/>
                <w:szCs w:val="28"/>
              </w:rPr>
              <w:t>2100</w:t>
            </w:r>
            <w:r>
              <w:rPr>
                <w:rFonts w:ascii="Times New Roman" w:hAnsi="Times New Roman" w:eastAsia="仿宋" w:cs="Times New Roman"/>
                <w:sz w:val="28"/>
                <w:szCs w:val="28"/>
              </w:rPr>
              <w:t>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信息化资源年度更新量</w:t>
            </w:r>
          </w:p>
        </w:tc>
        <w:tc>
          <w:tcPr>
            <w:tcW w:w="4950" w:type="dxa"/>
            <w:gridSpan w:val="2"/>
            <w:shd w:val="clear" w:color="auto" w:fill="FFFFFF" w:themeFill="background1"/>
          </w:tcPr>
          <w:p>
            <w:pPr>
              <w:adjustRightInd w:val="0"/>
              <w:snapToGrid w:val="0"/>
              <w:jc w:val="right"/>
              <w:rPr>
                <w:rFonts w:ascii="Times New Roman" w:hAnsi="Times New Roman" w:eastAsia="仿宋" w:cs="Times New Roman"/>
                <w:sz w:val="28"/>
                <w:szCs w:val="28"/>
              </w:rPr>
            </w:pPr>
            <w:r>
              <w:rPr>
                <w:rFonts w:hint="eastAsia" w:ascii="Times New Roman" w:hAnsi="Times New Roman" w:eastAsia="仿宋" w:cs="Times New Roman"/>
                <w:sz w:val="28"/>
                <w:szCs w:val="28"/>
              </w:rPr>
              <w:t>600</w:t>
            </w:r>
            <w:r>
              <w:rPr>
                <w:rFonts w:ascii="Times New Roman" w:hAnsi="Times New Roman" w:eastAsia="仿宋" w:cs="Times New Roman"/>
                <w:sz w:val="28"/>
                <w:szCs w:val="28"/>
              </w:rPr>
              <w:t>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虚拟仿真实验教学项目</w:t>
            </w:r>
          </w:p>
        </w:tc>
        <w:tc>
          <w:tcPr>
            <w:tcW w:w="4950" w:type="dxa"/>
            <w:gridSpan w:val="2"/>
            <w:shd w:val="clear" w:color="auto" w:fill="FFFFFF" w:themeFill="background1"/>
          </w:tcPr>
          <w:p>
            <w:pPr>
              <w:adjustRightInd w:val="0"/>
              <w:snapToGrid w:val="0"/>
              <w:jc w:val="right"/>
              <w:rPr>
                <w:rFonts w:ascii="仿宋" w:hAnsi="仿宋" w:eastAsia="仿宋"/>
                <w:sz w:val="28"/>
                <w:szCs w:val="28"/>
              </w:rPr>
            </w:pPr>
            <w:r>
              <w:rPr>
                <w:rFonts w:hint="eastAsia" w:ascii="仿宋" w:hAnsi="仿宋" w:eastAsia="仿宋"/>
                <w:sz w:val="28"/>
                <w:szCs w:val="28"/>
              </w:rPr>
              <w:t>24项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3566" w:type="dxa"/>
            <w:vMerge w:val="restart"/>
            <w:shd w:val="clear" w:color="auto" w:fill="FFFFFF" w:themeFill="background1"/>
            <w:vAlign w:val="center"/>
          </w:tcPr>
          <w:p>
            <w:pPr>
              <w:adjustRightInd w:val="0"/>
              <w:snapToGrid w:val="0"/>
              <w:jc w:val="center"/>
              <w:rPr>
                <w:rFonts w:ascii="黑体" w:hAnsi="黑体" w:eastAsia="黑体"/>
              </w:rPr>
            </w:pPr>
            <w:r>
              <w:rPr>
                <w:rFonts w:hint="eastAsia" w:ascii="黑体" w:hAnsi="黑体" w:eastAsia="黑体"/>
              </w:rPr>
              <w:t>中心信息化工作联系人</w:t>
            </w:r>
          </w:p>
        </w:tc>
        <w:tc>
          <w:tcPr>
            <w:tcW w:w="1625" w:type="dxa"/>
            <w:tcBorders>
              <w:righ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姓名</w:t>
            </w:r>
          </w:p>
        </w:tc>
        <w:tc>
          <w:tcPr>
            <w:tcW w:w="3325" w:type="dxa"/>
            <w:tcBorders>
              <w:lef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陈冰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vMerge w:val="continue"/>
            <w:shd w:val="clear" w:color="auto" w:fill="FFFFFF" w:themeFill="background1"/>
          </w:tcPr>
          <w:p>
            <w:pPr>
              <w:adjustRightInd w:val="0"/>
              <w:snapToGrid w:val="0"/>
              <w:rPr>
                <w:rFonts w:ascii="仿宋" w:hAnsi="仿宋" w:eastAsia="仿宋"/>
                <w:sz w:val="28"/>
                <w:szCs w:val="28"/>
              </w:rPr>
            </w:pPr>
          </w:p>
        </w:tc>
        <w:tc>
          <w:tcPr>
            <w:tcW w:w="1625" w:type="dxa"/>
            <w:tcBorders>
              <w:righ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移动电话</w:t>
            </w:r>
          </w:p>
        </w:tc>
        <w:tc>
          <w:tcPr>
            <w:tcW w:w="3325" w:type="dxa"/>
            <w:tcBorders>
              <w:lef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13752788490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0" w:hRule="atLeast"/>
          <w:jc w:val="center"/>
        </w:trPr>
        <w:tc>
          <w:tcPr>
            <w:tcW w:w="3566" w:type="dxa"/>
            <w:vMerge w:val="continue"/>
            <w:shd w:val="clear" w:color="auto" w:fill="FFFFFF" w:themeFill="background1"/>
          </w:tcPr>
          <w:p>
            <w:pPr>
              <w:adjustRightInd w:val="0"/>
              <w:snapToGrid w:val="0"/>
              <w:rPr>
                <w:rFonts w:ascii="仿宋" w:hAnsi="仿宋" w:eastAsia="仿宋"/>
                <w:sz w:val="28"/>
                <w:szCs w:val="28"/>
              </w:rPr>
            </w:pPr>
          </w:p>
        </w:tc>
        <w:tc>
          <w:tcPr>
            <w:tcW w:w="1625" w:type="dxa"/>
            <w:tcBorders>
              <w:right w:val="single" w:color="auto" w:sz="4" w:space="0"/>
            </w:tcBorders>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rPr>
              <w:t>电子邮箱</w:t>
            </w:r>
          </w:p>
        </w:tc>
        <w:tc>
          <w:tcPr>
            <w:tcW w:w="3325" w:type="dxa"/>
            <w:tcBorders>
              <w:left w:val="single" w:color="auto" w:sz="4" w:space="0"/>
            </w:tcBorders>
            <w:shd w:val="clear" w:color="auto" w:fill="FFFFFF" w:themeFill="background1"/>
            <w:vAlign w:val="center"/>
          </w:tcPr>
          <w:p>
            <w:pPr>
              <w:adjustRightInd w:val="0"/>
              <w:snapToGrid w:val="0"/>
              <w:jc w:val="center"/>
              <w:rPr>
                <w:rFonts w:ascii="楷体" w:hAnsi="楷体" w:eastAsia="楷体"/>
              </w:rPr>
            </w:pPr>
            <w:r>
              <w:rPr>
                <w:rFonts w:ascii="楷体" w:hAnsi="楷体" w:eastAsia="楷体"/>
              </w:rPr>
              <w:t>chen</w:t>
            </w:r>
            <w:r>
              <w:rPr>
                <w:rFonts w:hint="eastAsia" w:ascii="楷体" w:hAnsi="楷体" w:eastAsia="楷体"/>
              </w:rPr>
              <w:t>ice79@163.com</w:t>
            </w:r>
          </w:p>
        </w:tc>
      </w:tr>
    </w:tbl>
    <w:p>
      <w:pPr>
        <w:spacing w:before="163" w:beforeLines="50"/>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1.参加示范中心联席会活动情况</w:t>
      </w:r>
    </w:p>
    <w:tbl>
      <w:tblPr>
        <w:tblStyle w:val="8"/>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67" w:hRule="atLeast"/>
        </w:trPr>
        <w:tc>
          <w:tcPr>
            <w:tcW w:w="4783" w:type="dxa"/>
            <w:shd w:val="clear" w:color="auto" w:fill="FFFFFF" w:themeFill="background1"/>
            <w:vAlign w:val="center"/>
          </w:tcPr>
          <w:p>
            <w:pPr>
              <w:adjustRightInd w:val="0"/>
              <w:snapToGrid w:val="0"/>
              <w:jc w:val="center"/>
              <w:rPr>
                <w:rFonts w:ascii="黑体" w:hAnsi="黑体" w:eastAsia="黑体" w:cs="仿宋_GB2312"/>
              </w:rPr>
            </w:pPr>
            <w:r>
              <w:rPr>
                <w:rFonts w:hint="eastAsia" w:ascii="黑体" w:hAnsi="黑体" w:eastAsia="黑体" w:cs="仿宋_GB2312"/>
              </w:rPr>
              <w:t>所在示范中心联席会学科组名称</w:t>
            </w:r>
          </w:p>
        </w:tc>
        <w:tc>
          <w:tcPr>
            <w:tcW w:w="3733" w:type="dxa"/>
            <w:shd w:val="clear" w:color="auto" w:fill="FFFFFF" w:themeFill="background1"/>
          </w:tcPr>
          <w:p>
            <w:pPr>
              <w:adjustRightInd w:val="0"/>
              <w:snapToGrid w:val="0"/>
              <w:rPr>
                <w:rFonts w:ascii="仿宋" w:hAnsi="仿宋" w:eastAsia="仿宋" w:cs="仿宋_GB2312"/>
                <w:sz w:val="28"/>
                <w:szCs w:val="28"/>
              </w:rPr>
            </w:pPr>
            <w:r>
              <w:rPr>
                <w:rFonts w:ascii="仿宋" w:hAnsi="仿宋" w:eastAsia="仿宋" w:cs="仿宋_GB2312"/>
              </w:rPr>
              <w:t>天津市电工电子类实验教学示范中心联席会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4783" w:type="dxa"/>
            <w:shd w:val="clear" w:color="auto" w:fill="FFFFFF" w:themeFill="background1"/>
            <w:vAlign w:val="center"/>
          </w:tcPr>
          <w:p>
            <w:pPr>
              <w:adjustRightInd w:val="0"/>
              <w:snapToGrid w:val="0"/>
              <w:ind w:firstLine="480" w:firstLineChars="200"/>
              <w:jc w:val="center"/>
              <w:rPr>
                <w:rFonts w:ascii="黑体" w:hAnsi="黑体" w:eastAsia="黑体" w:cs="仿宋_GB2312"/>
              </w:rPr>
            </w:pPr>
            <w:r>
              <w:rPr>
                <w:rFonts w:hint="eastAsia" w:ascii="黑体" w:hAnsi="黑体" w:eastAsia="黑体" w:cs="仿宋_GB2312"/>
              </w:rPr>
              <w:t>参加活动的人次数</w:t>
            </w:r>
          </w:p>
        </w:tc>
        <w:tc>
          <w:tcPr>
            <w:tcW w:w="3733" w:type="dxa"/>
            <w:shd w:val="clear" w:color="auto" w:fill="FFFFFF" w:themeFill="background1"/>
            <w:vAlign w:val="center"/>
          </w:tcPr>
          <w:p>
            <w:pPr>
              <w:adjustRightInd w:val="0"/>
              <w:snapToGrid w:val="0"/>
              <w:jc w:val="center"/>
              <w:rPr>
                <w:rFonts w:ascii="仿宋" w:hAnsi="仿宋" w:eastAsia="仿宋" w:cs="仿宋_GB2312"/>
                <w:sz w:val="28"/>
                <w:szCs w:val="28"/>
              </w:rPr>
            </w:pPr>
            <w:r>
              <w:rPr>
                <w:rFonts w:ascii="仿宋" w:hAnsi="仿宋" w:eastAsia="仿宋" w:cs="仿宋_GB2312"/>
              </w:rPr>
              <w:t>因疫情延期</w:t>
            </w:r>
          </w:p>
        </w:tc>
      </w:tr>
    </w:tbl>
    <w:p>
      <w:pPr>
        <w:spacing w:before="163" w:beforeLines="50" w:after="163" w:afterLines="50"/>
        <w:ind w:firstLine="480" w:firstLineChars="200"/>
        <w:rPr>
          <w:rFonts w:ascii="黑体" w:hAnsi="黑体" w:eastAsia="黑体"/>
        </w:rPr>
      </w:pPr>
      <w:r>
        <w:rPr>
          <w:rFonts w:hint="eastAsia" w:ascii="黑体" w:hAnsi="黑体" w:eastAsia="黑体" w:cs="仿宋_GB2312"/>
        </w:rPr>
        <w:t>2.承办大型会议情况</w:t>
      </w:r>
    </w:p>
    <w:tbl>
      <w:tblPr>
        <w:tblStyle w:val="7"/>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598"/>
        <w:gridCol w:w="1952"/>
        <w:gridCol w:w="1242"/>
        <w:gridCol w:w="1242"/>
        <w:gridCol w:w="887"/>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jc w:val="center"/>
              <w:rPr>
                <w:rFonts w:ascii="黑体" w:hAnsi="黑体" w:eastAsia="黑体"/>
              </w:rPr>
            </w:pPr>
            <w:r>
              <w:rPr>
                <w:rFonts w:hint="eastAsia" w:ascii="黑体" w:hAnsi="黑体" w:eastAsia="黑体" w:cs="宋体"/>
              </w:rPr>
              <w:t>序号</w:t>
            </w:r>
          </w:p>
        </w:tc>
        <w:tc>
          <w:tcPr>
            <w:tcW w:w="1598" w:type="dxa"/>
            <w:vAlign w:val="center"/>
          </w:tcPr>
          <w:p>
            <w:pPr>
              <w:jc w:val="center"/>
              <w:rPr>
                <w:rFonts w:ascii="黑体" w:hAnsi="黑体" w:eastAsia="黑体"/>
              </w:rPr>
            </w:pPr>
            <w:r>
              <w:rPr>
                <w:rFonts w:hint="eastAsia" w:ascii="黑体" w:hAnsi="黑体" w:eastAsia="黑体" w:cs="宋体"/>
              </w:rPr>
              <w:t>会议名称</w:t>
            </w:r>
          </w:p>
        </w:tc>
        <w:tc>
          <w:tcPr>
            <w:tcW w:w="1952" w:type="dxa"/>
            <w:vAlign w:val="center"/>
          </w:tcPr>
          <w:p>
            <w:pPr>
              <w:jc w:val="center"/>
              <w:rPr>
                <w:rFonts w:ascii="黑体" w:hAnsi="黑体" w:eastAsia="黑体"/>
              </w:rPr>
            </w:pPr>
            <w:r>
              <w:rPr>
                <w:rFonts w:hint="eastAsia" w:ascii="黑体" w:hAnsi="黑体" w:eastAsia="黑体" w:cs="宋体"/>
              </w:rPr>
              <w:t>主办单位名称</w:t>
            </w:r>
          </w:p>
        </w:tc>
        <w:tc>
          <w:tcPr>
            <w:tcW w:w="1242" w:type="dxa"/>
            <w:vAlign w:val="center"/>
          </w:tcPr>
          <w:p>
            <w:pPr>
              <w:jc w:val="center"/>
              <w:rPr>
                <w:rFonts w:ascii="黑体" w:hAnsi="黑体" w:eastAsia="黑体"/>
              </w:rPr>
            </w:pPr>
            <w:r>
              <w:rPr>
                <w:rFonts w:hint="eastAsia" w:ascii="黑体" w:hAnsi="黑体" w:eastAsia="黑体" w:cs="宋体"/>
              </w:rPr>
              <w:t>会议主席</w:t>
            </w:r>
          </w:p>
        </w:tc>
        <w:tc>
          <w:tcPr>
            <w:tcW w:w="1242" w:type="dxa"/>
            <w:vAlign w:val="center"/>
          </w:tcPr>
          <w:p>
            <w:pPr>
              <w:jc w:val="center"/>
              <w:rPr>
                <w:rFonts w:ascii="黑体" w:hAnsi="黑体" w:eastAsia="黑体"/>
              </w:rPr>
            </w:pPr>
            <w:r>
              <w:rPr>
                <w:rFonts w:hint="eastAsia" w:ascii="黑体" w:hAnsi="黑体" w:eastAsia="黑体"/>
              </w:rPr>
              <w:t>参加人数</w:t>
            </w:r>
          </w:p>
        </w:tc>
        <w:tc>
          <w:tcPr>
            <w:tcW w:w="887" w:type="dxa"/>
            <w:vAlign w:val="center"/>
          </w:tcPr>
          <w:p>
            <w:pPr>
              <w:jc w:val="center"/>
              <w:rPr>
                <w:rFonts w:ascii="黑体" w:hAnsi="黑体" w:eastAsia="黑体"/>
              </w:rPr>
            </w:pPr>
            <w:r>
              <w:rPr>
                <w:rFonts w:hint="eastAsia" w:ascii="黑体" w:hAnsi="黑体" w:eastAsia="黑体" w:cs="宋体"/>
              </w:rPr>
              <w:t>时间</w:t>
            </w:r>
          </w:p>
        </w:tc>
        <w:tc>
          <w:tcPr>
            <w:tcW w:w="886" w:type="dxa"/>
            <w:vAlign w:val="center"/>
          </w:tcPr>
          <w:p>
            <w:pPr>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adjustRightInd w:val="0"/>
              <w:snapToGrid w:val="0"/>
              <w:jc w:val="center"/>
              <w:rPr>
                <w:rFonts w:ascii="楷体" w:hAnsi="楷体" w:eastAsia="楷体"/>
              </w:rPr>
            </w:pPr>
            <w:r>
              <w:rPr>
                <w:rFonts w:hint="eastAsia" w:ascii="楷体" w:hAnsi="楷体" w:eastAsia="楷体"/>
              </w:rPr>
              <w:t>1</w:t>
            </w:r>
          </w:p>
        </w:tc>
        <w:tc>
          <w:tcPr>
            <w:tcW w:w="1598"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887"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adjustRightInd w:val="0"/>
              <w:snapToGrid w:val="0"/>
              <w:jc w:val="center"/>
              <w:rPr>
                <w:rFonts w:ascii="楷体" w:hAnsi="楷体" w:eastAsia="楷体"/>
              </w:rPr>
            </w:pPr>
            <w:r>
              <w:rPr>
                <w:rFonts w:hint="eastAsia" w:ascii="楷体" w:hAnsi="楷体" w:eastAsia="楷体"/>
              </w:rPr>
              <w:t>2</w:t>
            </w:r>
          </w:p>
        </w:tc>
        <w:tc>
          <w:tcPr>
            <w:tcW w:w="1598"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887"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709" w:type="dxa"/>
            <w:vAlign w:val="center"/>
          </w:tcPr>
          <w:p>
            <w:pPr>
              <w:adjustRightInd w:val="0"/>
              <w:snapToGrid w:val="0"/>
              <w:jc w:val="center"/>
              <w:rPr>
                <w:rFonts w:ascii="楷体" w:hAnsi="楷体" w:eastAsia="楷体"/>
              </w:rPr>
            </w:pPr>
            <w:r>
              <w:rPr>
                <w:rFonts w:hint="eastAsia" w:ascii="楷体" w:hAnsi="楷体" w:eastAsia="楷体" w:cs="仿宋_GB2312"/>
              </w:rPr>
              <w:t>…</w:t>
            </w:r>
          </w:p>
        </w:tc>
        <w:tc>
          <w:tcPr>
            <w:tcW w:w="1598" w:type="dxa"/>
            <w:vAlign w:val="center"/>
          </w:tcPr>
          <w:p>
            <w:pPr>
              <w:adjustRightInd w:val="0"/>
              <w:snapToGrid w:val="0"/>
              <w:jc w:val="center"/>
              <w:rPr>
                <w:rFonts w:ascii="仿宋" w:hAnsi="仿宋" w:eastAsia="仿宋"/>
                <w:sz w:val="28"/>
                <w:szCs w:val="28"/>
              </w:rPr>
            </w:pPr>
          </w:p>
        </w:tc>
        <w:tc>
          <w:tcPr>
            <w:tcW w:w="195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1242" w:type="dxa"/>
            <w:vAlign w:val="center"/>
          </w:tcPr>
          <w:p>
            <w:pPr>
              <w:adjustRightInd w:val="0"/>
              <w:snapToGrid w:val="0"/>
              <w:jc w:val="center"/>
              <w:rPr>
                <w:rFonts w:ascii="仿宋" w:hAnsi="仿宋" w:eastAsia="仿宋"/>
                <w:sz w:val="28"/>
                <w:szCs w:val="28"/>
              </w:rPr>
            </w:pPr>
          </w:p>
        </w:tc>
        <w:tc>
          <w:tcPr>
            <w:tcW w:w="887" w:type="dxa"/>
            <w:vAlign w:val="center"/>
          </w:tcPr>
          <w:p>
            <w:pPr>
              <w:adjustRightInd w:val="0"/>
              <w:snapToGrid w:val="0"/>
              <w:jc w:val="center"/>
              <w:rPr>
                <w:rFonts w:ascii="仿宋" w:hAnsi="仿宋" w:eastAsia="仿宋"/>
                <w:sz w:val="28"/>
                <w:szCs w:val="28"/>
              </w:rPr>
            </w:pPr>
          </w:p>
        </w:tc>
        <w:tc>
          <w:tcPr>
            <w:tcW w:w="886" w:type="dxa"/>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afterLines="50"/>
        <w:ind w:firstLine="470" w:firstLineChars="196"/>
        <w:rPr>
          <w:rFonts w:ascii="黑体" w:hAnsi="黑体" w:eastAsia="黑体" w:cs="仿宋_GB2312"/>
        </w:rPr>
      </w:pPr>
      <w:r>
        <w:rPr>
          <w:rFonts w:hint="eastAsia" w:ascii="黑体" w:hAnsi="黑体" w:eastAsia="黑体" w:cs="仿宋_GB2312"/>
        </w:rPr>
        <w:t>3.参加大型会议情况</w:t>
      </w:r>
    </w:p>
    <w:tbl>
      <w:tblPr>
        <w:tblStyle w:val="7"/>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09"/>
        <w:gridCol w:w="1952"/>
        <w:gridCol w:w="1952"/>
        <w:gridCol w:w="1952"/>
        <w:gridCol w:w="1065"/>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6" w:hRule="atLeast"/>
          <w:jc w:val="center"/>
        </w:trPr>
        <w:tc>
          <w:tcPr>
            <w:tcW w:w="709" w:type="dxa"/>
            <w:shd w:val="clear" w:color="auto" w:fill="FFFFFF" w:themeFill="background1"/>
            <w:vAlign w:val="center"/>
          </w:tcPr>
          <w:p>
            <w:pPr>
              <w:jc w:val="center"/>
              <w:rPr>
                <w:rFonts w:ascii="黑体" w:hAnsi="黑体" w:eastAsia="黑体"/>
              </w:rPr>
            </w:pPr>
            <w:r>
              <w:rPr>
                <w:rFonts w:hint="eastAsia" w:ascii="黑体" w:hAnsi="黑体" w:eastAsia="黑体" w:cs="宋体"/>
              </w:rPr>
              <w:t>序号</w:t>
            </w:r>
          </w:p>
        </w:tc>
        <w:tc>
          <w:tcPr>
            <w:tcW w:w="1952" w:type="dxa"/>
            <w:shd w:val="clear" w:color="auto" w:fill="FFFFFF" w:themeFill="background1"/>
            <w:vAlign w:val="center"/>
          </w:tcPr>
          <w:p>
            <w:pPr>
              <w:jc w:val="center"/>
              <w:rPr>
                <w:rFonts w:ascii="黑体" w:hAnsi="黑体" w:eastAsia="黑体"/>
              </w:rPr>
            </w:pPr>
            <w:r>
              <w:rPr>
                <w:rFonts w:hint="eastAsia" w:ascii="黑体" w:hAnsi="黑体" w:eastAsia="黑体" w:cs="宋体"/>
              </w:rPr>
              <w:t>大会报告名称</w:t>
            </w:r>
          </w:p>
        </w:tc>
        <w:tc>
          <w:tcPr>
            <w:tcW w:w="1952" w:type="dxa"/>
            <w:shd w:val="clear" w:color="auto" w:fill="FFFFFF" w:themeFill="background1"/>
            <w:vAlign w:val="center"/>
          </w:tcPr>
          <w:p>
            <w:pPr>
              <w:jc w:val="center"/>
              <w:rPr>
                <w:rFonts w:ascii="黑体" w:hAnsi="黑体" w:eastAsia="黑体"/>
              </w:rPr>
            </w:pPr>
            <w:r>
              <w:rPr>
                <w:rFonts w:hint="eastAsia" w:ascii="黑体" w:hAnsi="黑体" w:eastAsia="黑体" w:cs="宋体"/>
              </w:rPr>
              <w:t>报告人</w:t>
            </w:r>
          </w:p>
        </w:tc>
        <w:tc>
          <w:tcPr>
            <w:tcW w:w="1952" w:type="dxa"/>
            <w:shd w:val="clear" w:color="auto" w:fill="FFFFFF" w:themeFill="background1"/>
            <w:vAlign w:val="center"/>
          </w:tcPr>
          <w:p>
            <w:pPr>
              <w:jc w:val="center"/>
              <w:rPr>
                <w:rFonts w:ascii="黑体" w:hAnsi="黑体" w:eastAsia="黑体"/>
              </w:rPr>
            </w:pPr>
            <w:r>
              <w:rPr>
                <w:rFonts w:hint="eastAsia" w:ascii="黑体" w:hAnsi="黑体" w:eastAsia="黑体" w:cs="宋体"/>
              </w:rPr>
              <w:t>会议名称</w:t>
            </w:r>
          </w:p>
        </w:tc>
        <w:tc>
          <w:tcPr>
            <w:tcW w:w="1065" w:type="dxa"/>
            <w:shd w:val="clear" w:color="auto" w:fill="FFFFFF" w:themeFill="background1"/>
            <w:vAlign w:val="center"/>
          </w:tcPr>
          <w:p>
            <w:pPr>
              <w:jc w:val="center"/>
              <w:rPr>
                <w:rFonts w:ascii="黑体" w:hAnsi="黑体" w:eastAsia="黑体"/>
              </w:rPr>
            </w:pPr>
            <w:r>
              <w:rPr>
                <w:rFonts w:hint="eastAsia" w:ascii="黑体" w:hAnsi="黑体" w:eastAsia="黑体" w:cs="宋体"/>
              </w:rPr>
              <w:t>时间</w:t>
            </w:r>
          </w:p>
        </w:tc>
        <w:tc>
          <w:tcPr>
            <w:tcW w:w="886" w:type="dxa"/>
            <w:shd w:val="clear" w:color="auto" w:fill="FFFFFF" w:themeFill="background1"/>
            <w:vAlign w:val="center"/>
          </w:tcPr>
          <w:p>
            <w:pPr>
              <w:jc w:val="center"/>
              <w:rPr>
                <w:rFonts w:ascii="黑体" w:hAnsi="黑体" w:eastAsia="黑体"/>
              </w:rPr>
            </w:pPr>
            <w:r>
              <w:rPr>
                <w:rFonts w:hint="eastAsia" w:ascii="黑体" w:hAnsi="黑体" w:eastAsia="黑体" w:cs="宋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46" w:hRule="atLeast"/>
          <w:jc w:val="center"/>
        </w:trPr>
        <w:tc>
          <w:tcPr>
            <w:tcW w:w="709"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952" w:type="dxa"/>
            <w:shd w:val="clear" w:color="auto" w:fill="FFFFFF" w:themeFill="background1"/>
            <w:vAlign w:val="center"/>
          </w:tcPr>
          <w:p>
            <w:pPr>
              <w:adjustRightInd w:val="0"/>
              <w:snapToGrid w:val="0"/>
              <w:jc w:val="left"/>
              <w:rPr>
                <w:rFonts w:ascii="仿宋" w:hAnsi="仿宋" w:eastAsia="仿宋"/>
                <w:sz w:val="21"/>
                <w:szCs w:val="21"/>
              </w:rPr>
            </w:pPr>
          </w:p>
        </w:tc>
        <w:tc>
          <w:tcPr>
            <w:tcW w:w="1952" w:type="dxa"/>
            <w:shd w:val="clear" w:color="auto" w:fill="FFFFFF" w:themeFill="background1"/>
            <w:vAlign w:val="center"/>
          </w:tcPr>
          <w:p>
            <w:pPr>
              <w:adjustRightInd w:val="0"/>
              <w:snapToGrid w:val="0"/>
              <w:jc w:val="center"/>
              <w:rPr>
                <w:rFonts w:ascii="仿宋" w:hAnsi="仿宋" w:eastAsia="仿宋"/>
                <w:sz w:val="21"/>
                <w:szCs w:val="21"/>
              </w:rPr>
            </w:pPr>
          </w:p>
        </w:tc>
        <w:tc>
          <w:tcPr>
            <w:tcW w:w="1952" w:type="dxa"/>
            <w:shd w:val="clear" w:color="auto" w:fill="FFFFFF" w:themeFill="background1"/>
            <w:vAlign w:val="center"/>
          </w:tcPr>
          <w:p>
            <w:pPr>
              <w:adjustRightInd w:val="0"/>
              <w:snapToGrid w:val="0"/>
              <w:jc w:val="left"/>
              <w:rPr>
                <w:rFonts w:ascii="仿宋" w:hAnsi="仿宋" w:eastAsia="仿宋"/>
                <w:sz w:val="21"/>
                <w:szCs w:val="21"/>
              </w:rPr>
            </w:pPr>
          </w:p>
        </w:tc>
        <w:tc>
          <w:tcPr>
            <w:tcW w:w="1065" w:type="dxa"/>
            <w:shd w:val="clear" w:color="auto" w:fill="FFFFFF" w:themeFill="background1"/>
            <w:vAlign w:val="center"/>
          </w:tcPr>
          <w:p>
            <w:pPr>
              <w:adjustRightInd w:val="0"/>
              <w:snapToGrid w:val="0"/>
              <w:jc w:val="center"/>
              <w:rPr>
                <w:rFonts w:ascii="仿宋" w:hAnsi="仿宋" w:eastAsia="仿宋"/>
                <w:sz w:val="21"/>
                <w:szCs w:val="21"/>
              </w:rPr>
            </w:pPr>
          </w:p>
        </w:tc>
        <w:tc>
          <w:tcPr>
            <w:tcW w:w="886" w:type="dxa"/>
            <w:shd w:val="clear" w:color="auto" w:fill="FFFFFF" w:themeFill="background1"/>
            <w:vAlign w:val="center"/>
          </w:tcPr>
          <w:p>
            <w:pPr>
              <w:adjustRightInd w:val="0"/>
              <w:snapToGrid w:val="0"/>
              <w:jc w:val="center"/>
              <w:rPr>
                <w:rFonts w:ascii="仿宋" w:hAnsi="仿宋" w:eastAsia="仿宋"/>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709"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952" w:type="dxa"/>
            <w:shd w:val="clear" w:color="auto" w:fill="FFFFFF" w:themeFill="background1"/>
            <w:vAlign w:val="center"/>
          </w:tcPr>
          <w:p>
            <w:pPr>
              <w:adjustRightInd w:val="0"/>
              <w:snapToGrid w:val="0"/>
              <w:jc w:val="center"/>
              <w:rPr>
                <w:rFonts w:ascii="仿宋" w:hAnsi="仿宋" w:eastAsia="仿宋"/>
                <w:sz w:val="28"/>
                <w:szCs w:val="28"/>
              </w:rPr>
            </w:pPr>
          </w:p>
        </w:tc>
        <w:tc>
          <w:tcPr>
            <w:tcW w:w="1952" w:type="dxa"/>
            <w:shd w:val="clear" w:color="auto" w:fill="FFFFFF" w:themeFill="background1"/>
            <w:vAlign w:val="center"/>
          </w:tcPr>
          <w:p>
            <w:pPr>
              <w:adjustRightInd w:val="0"/>
              <w:snapToGrid w:val="0"/>
              <w:jc w:val="center"/>
              <w:rPr>
                <w:rFonts w:ascii="仿宋" w:hAnsi="仿宋" w:eastAsia="仿宋"/>
                <w:sz w:val="28"/>
                <w:szCs w:val="28"/>
              </w:rPr>
            </w:pPr>
          </w:p>
        </w:tc>
        <w:tc>
          <w:tcPr>
            <w:tcW w:w="1952" w:type="dxa"/>
            <w:shd w:val="clear" w:color="auto" w:fill="FFFFFF" w:themeFill="background1"/>
            <w:vAlign w:val="center"/>
          </w:tcPr>
          <w:p>
            <w:pPr>
              <w:adjustRightInd w:val="0"/>
              <w:snapToGrid w:val="0"/>
              <w:jc w:val="center"/>
              <w:rPr>
                <w:rFonts w:ascii="仿宋" w:hAnsi="仿宋" w:eastAsia="仿宋"/>
                <w:sz w:val="28"/>
                <w:szCs w:val="28"/>
              </w:rPr>
            </w:pPr>
          </w:p>
        </w:tc>
        <w:tc>
          <w:tcPr>
            <w:tcW w:w="1065" w:type="dxa"/>
            <w:shd w:val="clear" w:color="auto" w:fill="FFFFFF" w:themeFill="background1"/>
            <w:vAlign w:val="center"/>
          </w:tcPr>
          <w:p>
            <w:pPr>
              <w:adjustRightInd w:val="0"/>
              <w:snapToGrid w:val="0"/>
              <w:jc w:val="center"/>
              <w:rPr>
                <w:rFonts w:ascii="仿宋" w:hAnsi="仿宋" w:eastAsia="仿宋"/>
                <w:sz w:val="28"/>
                <w:szCs w:val="28"/>
              </w:rPr>
            </w:pPr>
          </w:p>
        </w:tc>
        <w:tc>
          <w:tcPr>
            <w:tcW w:w="886" w:type="dxa"/>
            <w:shd w:val="clear" w:color="auto" w:fill="FFFFFF" w:themeFill="background1"/>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6" w:hRule="atLeast"/>
          <w:jc w:val="center"/>
        </w:trPr>
        <w:tc>
          <w:tcPr>
            <w:tcW w:w="709" w:type="dxa"/>
            <w:shd w:val="clear" w:color="auto" w:fill="FFFFFF" w:themeFill="background1"/>
            <w:vAlign w:val="center"/>
          </w:tcPr>
          <w:p>
            <w:pPr>
              <w:adjustRightInd w:val="0"/>
              <w:snapToGrid w:val="0"/>
              <w:jc w:val="center"/>
              <w:rPr>
                <w:rFonts w:ascii="楷体" w:hAnsi="楷体" w:eastAsia="楷体"/>
              </w:rPr>
            </w:pPr>
            <w:r>
              <w:rPr>
                <w:rFonts w:hint="eastAsia" w:ascii="楷体" w:hAnsi="楷体" w:eastAsia="楷体" w:cs="仿宋_GB2312"/>
              </w:rPr>
              <w:t>…</w:t>
            </w:r>
          </w:p>
        </w:tc>
        <w:tc>
          <w:tcPr>
            <w:tcW w:w="1952" w:type="dxa"/>
            <w:shd w:val="clear" w:color="auto" w:fill="FFFFFF" w:themeFill="background1"/>
            <w:vAlign w:val="center"/>
          </w:tcPr>
          <w:p>
            <w:pPr>
              <w:adjustRightInd w:val="0"/>
              <w:snapToGrid w:val="0"/>
              <w:jc w:val="center"/>
              <w:rPr>
                <w:rFonts w:ascii="仿宋" w:hAnsi="仿宋" w:eastAsia="仿宋"/>
                <w:sz w:val="28"/>
                <w:szCs w:val="28"/>
              </w:rPr>
            </w:pPr>
          </w:p>
        </w:tc>
        <w:tc>
          <w:tcPr>
            <w:tcW w:w="1952" w:type="dxa"/>
            <w:shd w:val="clear" w:color="auto" w:fill="FFFFFF" w:themeFill="background1"/>
            <w:vAlign w:val="center"/>
          </w:tcPr>
          <w:p>
            <w:pPr>
              <w:adjustRightInd w:val="0"/>
              <w:snapToGrid w:val="0"/>
              <w:jc w:val="center"/>
              <w:rPr>
                <w:rFonts w:ascii="仿宋" w:hAnsi="仿宋" w:eastAsia="仿宋"/>
                <w:sz w:val="28"/>
                <w:szCs w:val="28"/>
              </w:rPr>
            </w:pPr>
          </w:p>
        </w:tc>
        <w:tc>
          <w:tcPr>
            <w:tcW w:w="1952" w:type="dxa"/>
            <w:shd w:val="clear" w:color="auto" w:fill="FFFFFF" w:themeFill="background1"/>
            <w:vAlign w:val="center"/>
          </w:tcPr>
          <w:p>
            <w:pPr>
              <w:adjustRightInd w:val="0"/>
              <w:snapToGrid w:val="0"/>
              <w:jc w:val="center"/>
              <w:rPr>
                <w:rFonts w:ascii="仿宋" w:hAnsi="仿宋" w:eastAsia="仿宋"/>
                <w:sz w:val="28"/>
                <w:szCs w:val="28"/>
              </w:rPr>
            </w:pPr>
          </w:p>
        </w:tc>
        <w:tc>
          <w:tcPr>
            <w:tcW w:w="1065" w:type="dxa"/>
            <w:shd w:val="clear" w:color="auto" w:fill="FFFFFF" w:themeFill="background1"/>
            <w:vAlign w:val="center"/>
          </w:tcPr>
          <w:p>
            <w:pPr>
              <w:adjustRightInd w:val="0"/>
              <w:snapToGrid w:val="0"/>
              <w:jc w:val="center"/>
              <w:rPr>
                <w:rFonts w:ascii="仿宋" w:hAnsi="仿宋" w:eastAsia="仿宋"/>
                <w:sz w:val="28"/>
                <w:szCs w:val="28"/>
              </w:rPr>
            </w:pPr>
          </w:p>
        </w:tc>
        <w:tc>
          <w:tcPr>
            <w:tcW w:w="886" w:type="dxa"/>
            <w:shd w:val="clear" w:color="auto" w:fill="FFFFFF" w:themeFill="background1"/>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afterLines="50"/>
        <w:ind w:firstLine="480" w:firstLineChars="200"/>
        <w:rPr>
          <w:rFonts w:ascii="黑体" w:hAnsi="黑体" w:eastAsia="黑体" w:cs="仿宋_GB2312"/>
        </w:rPr>
      </w:pPr>
      <w:r>
        <w:rPr>
          <w:rFonts w:hint="eastAsia" w:ascii="黑体" w:hAnsi="黑体" w:eastAsia="黑体" w:cs="仿宋_GB2312"/>
        </w:rPr>
        <w:t>4.承办竞赛情况</w:t>
      </w:r>
    </w:p>
    <w:tbl>
      <w:tblPr>
        <w:tblStyle w:val="7"/>
        <w:tblW w:w="85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74"/>
        <w:gridCol w:w="1277"/>
        <w:gridCol w:w="1276"/>
        <w:gridCol w:w="1276"/>
        <w:gridCol w:w="1134"/>
        <w:gridCol w:w="850"/>
        <w:gridCol w:w="850"/>
        <w:gridCol w:w="11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jc w:val="center"/>
        </w:trPr>
        <w:tc>
          <w:tcPr>
            <w:tcW w:w="674" w:type="dxa"/>
            <w:shd w:val="clear" w:color="auto" w:fill="FFFFFF" w:themeFill="background1"/>
            <w:vAlign w:val="center"/>
          </w:tcPr>
          <w:p>
            <w:pPr>
              <w:ind w:left="-120" w:leftChars="-50" w:right="-120" w:rightChars="-50"/>
              <w:jc w:val="center"/>
              <w:rPr>
                <w:rFonts w:ascii="黑体" w:hAnsi="黑体" w:eastAsia="黑体"/>
              </w:rPr>
            </w:pPr>
            <w:r>
              <w:rPr>
                <w:rFonts w:hint="eastAsia" w:ascii="黑体" w:hAnsi="黑体" w:eastAsia="黑体" w:cs="宋体"/>
              </w:rPr>
              <w:t>序号</w:t>
            </w:r>
          </w:p>
        </w:tc>
        <w:tc>
          <w:tcPr>
            <w:tcW w:w="1277" w:type="dxa"/>
            <w:shd w:val="clear" w:color="auto" w:fill="FFFFFF" w:themeFill="background1"/>
            <w:vAlign w:val="center"/>
          </w:tcPr>
          <w:p>
            <w:pPr>
              <w:jc w:val="center"/>
              <w:rPr>
                <w:rFonts w:ascii="黑体" w:hAnsi="黑体" w:eastAsia="黑体"/>
              </w:rPr>
            </w:pPr>
            <w:r>
              <w:rPr>
                <w:rFonts w:hint="eastAsia" w:ascii="黑体" w:hAnsi="黑体" w:eastAsia="黑体" w:cs="宋体"/>
              </w:rPr>
              <w:t>竞赛名称</w:t>
            </w:r>
          </w:p>
        </w:tc>
        <w:tc>
          <w:tcPr>
            <w:tcW w:w="1276" w:type="dxa"/>
            <w:shd w:val="clear" w:color="auto" w:fill="FFFFFF" w:themeFill="background1"/>
            <w:vAlign w:val="center"/>
          </w:tcPr>
          <w:p>
            <w:pPr>
              <w:jc w:val="center"/>
              <w:rPr>
                <w:rFonts w:ascii="黑体" w:hAnsi="黑体" w:eastAsia="黑体"/>
              </w:rPr>
            </w:pPr>
            <w:r>
              <w:rPr>
                <w:rFonts w:hint="eastAsia" w:ascii="黑体" w:hAnsi="黑体" w:eastAsia="黑体"/>
              </w:rPr>
              <w:t>竞赛级别</w:t>
            </w:r>
          </w:p>
        </w:tc>
        <w:tc>
          <w:tcPr>
            <w:tcW w:w="1276" w:type="dxa"/>
            <w:shd w:val="clear" w:color="auto" w:fill="FFFFFF" w:themeFill="background1"/>
            <w:vAlign w:val="center"/>
          </w:tcPr>
          <w:p>
            <w:pPr>
              <w:jc w:val="center"/>
              <w:rPr>
                <w:rFonts w:ascii="黑体" w:hAnsi="黑体" w:eastAsia="黑体"/>
              </w:rPr>
            </w:pPr>
            <w:r>
              <w:rPr>
                <w:rFonts w:hint="eastAsia" w:ascii="黑体" w:hAnsi="黑体" w:eastAsia="黑体"/>
              </w:rPr>
              <w:t>参赛人数</w:t>
            </w:r>
          </w:p>
        </w:tc>
        <w:tc>
          <w:tcPr>
            <w:tcW w:w="1134" w:type="dxa"/>
            <w:shd w:val="clear" w:color="auto" w:fill="FFFFFF" w:themeFill="background1"/>
            <w:vAlign w:val="center"/>
          </w:tcPr>
          <w:p>
            <w:pPr>
              <w:jc w:val="center"/>
              <w:rPr>
                <w:rFonts w:ascii="黑体" w:hAnsi="黑体" w:eastAsia="黑体"/>
              </w:rPr>
            </w:pPr>
            <w:r>
              <w:rPr>
                <w:rFonts w:hint="eastAsia" w:ascii="黑体" w:hAnsi="黑体" w:eastAsia="黑体" w:cs="宋体"/>
              </w:rPr>
              <w:t>负责人</w:t>
            </w:r>
          </w:p>
        </w:tc>
        <w:tc>
          <w:tcPr>
            <w:tcW w:w="850" w:type="dxa"/>
            <w:shd w:val="clear" w:color="auto" w:fill="FFFFFF" w:themeFill="background1"/>
            <w:vAlign w:val="center"/>
          </w:tcPr>
          <w:p>
            <w:pPr>
              <w:jc w:val="center"/>
              <w:rPr>
                <w:rFonts w:ascii="黑体" w:hAnsi="黑体" w:eastAsia="黑体"/>
              </w:rPr>
            </w:pPr>
            <w:r>
              <w:rPr>
                <w:rFonts w:hint="eastAsia" w:ascii="黑体" w:hAnsi="黑体" w:eastAsia="黑体" w:cs="宋体"/>
              </w:rPr>
              <w:t>职称</w:t>
            </w:r>
          </w:p>
        </w:tc>
        <w:tc>
          <w:tcPr>
            <w:tcW w:w="850" w:type="dxa"/>
            <w:shd w:val="clear" w:color="auto" w:fill="FFFFFF" w:themeFill="background1"/>
            <w:vAlign w:val="center"/>
          </w:tcPr>
          <w:p>
            <w:pPr>
              <w:jc w:val="center"/>
              <w:rPr>
                <w:rFonts w:ascii="黑体" w:hAnsi="黑体" w:eastAsia="黑体"/>
              </w:rPr>
            </w:pPr>
            <w:r>
              <w:rPr>
                <w:rFonts w:hint="eastAsia" w:ascii="黑体" w:hAnsi="黑体" w:eastAsia="黑体" w:cs="宋体"/>
              </w:rPr>
              <w:t>起止时间</w:t>
            </w:r>
          </w:p>
        </w:tc>
        <w:tc>
          <w:tcPr>
            <w:tcW w:w="1179" w:type="dxa"/>
            <w:shd w:val="clear" w:color="auto" w:fill="FFFFFF" w:themeFill="background1"/>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45" w:hRule="atLeast"/>
          <w:jc w:val="center"/>
        </w:trPr>
        <w:tc>
          <w:tcPr>
            <w:tcW w:w="674"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w:t>
            </w:r>
          </w:p>
        </w:tc>
        <w:tc>
          <w:tcPr>
            <w:tcW w:w="1277"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第二届智能控制器应用设计大赛</w:t>
            </w:r>
          </w:p>
        </w:tc>
        <w:tc>
          <w:tcPr>
            <w:tcW w:w="1276"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校级</w:t>
            </w:r>
          </w:p>
        </w:tc>
        <w:tc>
          <w:tcPr>
            <w:tcW w:w="127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192</w:t>
            </w:r>
          </w:p>
        </w:tc>
        <w:tc>
          <w:tcPr>
            <w:tcW w:w="1134"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张树臣</w:t>
            </w:r>
          </w:p>
        </w:tc>
        <w:tc>
          <w:tcPr>
            <w:tcW w:w="850"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8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2020.11.</w:t>
            </w:r>
            <w:r>
              <w:rPr>
                <w:rFonts w:hint="eastAsia" w:ascii="仿宋" w:hAnsi="仿宋" w:eastAsia="仿宋"/>
                <w:b/>
                <w:sz w:val="21"/>
                <w:szCs w:val="21"/>
              </w:rPr>
              <w:t>0</w:t>
            </w:r>
            <w:r>
              <w:rPr>
                <w:rFonts w:hint="eastAsia" w:ascii="仿宋" w:hAnsi="仿宋" w:eastAsia="仿宋"/>
                <w:sz w:val="21"/>
                <w:szCs w:val="21"/>
              </w:rPr>
              <w:t>1-2021.01.10</w:t>
            </w:r>
          </w:p>
        </w:tc>
        <w:tc>
          <w:tcPr>
            <w:tcW w:w="1179"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45" w:hRule="atLeast"/>
          <w:jc w:val="center"/>
        </w:trPr>
        <w:tc>
          <w:tcPr>
            <w:tcW w:w="674"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w:t>
            </w:r>
          </w:p>
        </w:tc>
        <w:tc>
          <w:tcPr>
            <w:tcW w:w="1277"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第二届电子产品装配与设计技能大赛决赛</w:t>
            </w:r>
          </w:p>
        </w:tc>
        <w:tc>
          <w:tcPr>
            <w:tcW w:w="1276"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校级</w:t>
            </w:r>
          </w:p>
        </w:tc>
        <w:tc>
          <w:tcPr>
            <w:tcW w:w="1276"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252</w:t>
            </w:r>
          </w:p>
        </w:tc>
        <w:tc>
          <w:tcPr>
            <w:tcW w:w="1134"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罗春丽</w:t>
            </w:r>
          </w:p>
        </w:tc>
        <w:tc>
          <w:tcPr>
            <w:tcW w:w="850" w:type="dxa"/>
            <w:shd w:val="clear" w:color="auto" w:fill="FFFFFF" w:themeFill="background1"/>
            <w:vAlign w:val="center"/>
          </w:tcPr>
          <w:p>
            <w:pPr>
              <w:adjustRightInd w:val="0"/>
              <w:snapToGrid w:val="0"/>
              <w:jc w:val="center"/>
              <w:rPr>
                <w:rFonts w:ascii="仿宋" w:hAnsi="仿宋" w:eastAsia="仿宋"/>
                <w:sz w:val="21"/>
                <w:szCs w:val="21"/>
              </w:rPr>
            </w:pPr>
            <w:r>
              <w:rPr>
                <w:rFonts w:ascii="仿宋" w:hAnsi="仿宋" w:eastAsia="仿宋"/>
                <w:sz w:val="21"/>
                <w:szCs w:val="21"/>
              </w:rPr>
              <w:t>副教授</w:t>
            </w:r>
          </w:p>
        </w:tc>
        <w:tc>
          <w:tcPr>
            <w:tcW w:w="850" w:type="dxa"/>
            <w:shd w:val="clear" w:color="auto" w:fill="FFFFFF" w:themeFill="background1"/>
            <w:vAlign w:val="center"/>
          </w:tcPr>
          <w:p>
            <w:pPr>
              <w:adjustRightInd w:val="0"/>
              <w:snapToGrid w:val="0"/>
              <w:jc w:val="center"/>
              <w:rPr>
                <w:rFonts w:ascii="仿宋" w:hAnsi="仿宋" w:eastAsia="仿宋"/>
                <w:sz w:val="21"/>
                <w:szCs w:val="21"/>
              </w:rPr>
            </w:pPr>
            <w:r>
              <w:rPr>
                <w:rFonts w:hint="eastAsia" w:ascii="仿宋" w:hAnsi="仿宋" w:eastAsia="仿宋"/>
                <w:sz w:val="21"/>
                <w:szCs w:val="21"/>
              </w:rPr>
              <w:t>2021.01.01-2021.01.15</w:t>
            </w:r>
          </w:p>
        </w:tc>
        <w:tc>
          <w:tcPr>
            <w:tcW w:w="1179" w:type="dxa"/>
            <w:shd w:val="clear" w:color="auto" w:fill="FFFFFF" w:themeFill="background1"/>
            <w:vAlign w:val="center"/>
          </w:tcPr>
          <w:p>
            <w:pPr>
              <w:adjustRightInd w:val="0"/>
              <w:snapToGrid w:val="0"/>
              <w:jc w:val="center"/>
              <w:rPr>
                <w:rFonts w:ascii="仿宋" w:hAnsi="仿宋" w:eastAsia="仿宋"/>
                <w:sz w:val="28"/>
                <w:szCs w:val="28"/>
              </w:rPr>
            </w:pPr>
            <w:r>
              <w:rPr>
                <w:rFonts w:hint="eastAsia" w:ascii="仿宋" w:hAnsi="仿宋" w:eastAsia="仿宋"/>
                <w:sz w:val="21"/>
                <w:szCs w:val="21"/>
              </w:rPr>
              <w:t>5</w:t>
            </w:r>
          </w:p>
        </w:tc>
      </w:tr>
    </w:tbl>
    <w:p>
      <w:pPr>
        <w:spacing w:before="163" w:beforeLines="50"/>
        <w:ind w:firstLine="480" w:firstLineChars="200"/>
        <w:rPr>
          <w:rFonts w:ascii="楷体" w:hAnsi="楷体" w:eastAsia="楷体"/>
        </w:rPr>
      </w:pPr>
      <w:r>
        <w:rPr>
          <w:rFonts w:hint="eastAsia" w:ascii="楷体" w:hAnsi="楷体" w:eastAsia="楷体"/>
          <w:bCs/>
        </w:rPr>
        <w:t>注：竞赛级别</w:t>
      </w:r>
      <w:r>
        <w:rPr>
          <w:rFonts w:hint="eastAsia" w:ascii="楷体" w:hAnsi="楷体" w:eastAsia="楷体"/>
        </w:rPr>
        <w:t>按国家级、省级、校级设立排序。</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5.开展科普活动情况</w:t>
      </w:r>
    </w:p>
    <w:tbl>
      <w:tblPr>
        <w:tblStyle w:val="8"/>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958"/>
        <w:gridCol w:w="1841"/>
        <w:gridCol w:w="1415"/>
        <w:gridCol w:w="43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474" w:hRule="atLeast"/>
          <w:jc w:val="center"/>
        </w:trPr>
        <w:tc>
          <w:tcPr>
            <w:tcW w:w="958" w:type="dxa"/>
            <w:shd w:val="clear" w:color="auto" w:fill="FFFFFF" w:themeFill="background1"/>
            <w:vAlign w:val="center"/>
          </w:tcPr>
          <w:p>
            <w:pPr>
              <w:jc w:val="center"/>
              <w:rPr>
                <w:rFonts w:ascii="黑体" w:hAnsi="黑体" w:eastAsia="黑体" w:cs="宋体"/>
              </w:rPr>
            </w:pPr>
            <w:r>
              <w:rPr>
                <w:rFonts w:hint="eastAsia" w:ascii="黑体" w:hAnsi="黑体" w:eastAsia="黑体" w:cs="宋体"/>
              </w:rPr>
              <w:t>序号</w:t>
            </w:r>
          </w:p>
        </w:tc>
        <w:tc>
          <w:tcPr>
            <w:tcW w:w="1841" w:type="dxa"/>
            <w:shd w:val="clear" w:color="auto" w:fill="FFFFFF" w:themeFill="background1"/>
            <w:vAlign w:val="center"/>
          </w:tcPr>
          <w:p>
            <w:pPr>
              <w:jc w:val="center"/>
              <w:rPr>
                <w:rFonts w:ascii="黑体" w:hAnsi="黑体" w:eastAsia="黑体" w:cs="宋体"/>
              </w:rPr>
            </w:pPr>
            <w:r>
              <w:rPr>
                <w:rFonts w:hint="eastAsia" w:ascii="黑体" w:hAnsi="黑体" w:eastAsia="黑体" w:cs="宋体"/>
              </w:rPr>
              <w:t>活动开展时间</w:t>
            </w:r>
          </w:p>
        </w:tc>
        <w:tc>
          <w:tcPr>
            <w:tcW w:w="1415" w:type="dxa"/>
            <w:shd w:val="clear" w:color="auto" w:fill="FFFFFF" w:themeFill="background1"/>
            <w:vAlign w:val="center"/>
          </w:tcPr>
          <w:p>
            <w:pPr>
              <w:jc w:val="center"/>
              <w:rPr>
                <w:rFonts w:ascii="黑体" w:hAnsi="黑体" w:eastAsia="黑体" w:cs="宋体"/>
              </w:rPr>
            </w:pPr>
            <w:r>
              <w:rPr>
                <w:rFonts w:hint="eastAsia" w:ascii="黑体" w:hAnsi="黑体" w:eastAsia="黑体" w:cs="宋体"/>
              </w:rPr>
              <w:t>参加人数</w:t>
            </w:r>
          </w:p>
        </w:tc>
        <w:tc>
          <w:tcPr>
            <w:tcW w:w="4302" w:type="dxa"/>
            <w:shd w:val="clear" w:color="auto" w:fill="FFFFFF" w:themeFill="background1"/>
            <w:vAlign w:val="center"/>
          </w:tcPr>
          <w:p>
            <w:pPr>
              <w:jc w:val="center"/>
              <w:rPr>
                <w:rFonts w:ascii="黑体" w:hAnsi="黑体" w:eastAsia="黑体" w:cs="宋体"/>
              </w:rPr>
            </w:pPr>
            <w:r>
              <w:rPr>
                <w:rFonts w:hint="eastAsia" w:ascii="黑体" w:hAnsi="黑体" w:eastAsia="黑体" w:cs="宋体"/>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958" w:type="dxa"/>
            <w:shd w:val="clear" w:color="auto" w:fill="FFFFFF" w:themeFill="background1"/>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1</w:t>
            </w:r>
          </w:p>
        </w:tc>
        <w:tc>
          <w:tcPr>
            <w:tcW w:w="1841" w:type="dxa"/>
            <w:shd w:val="clear" w:color="auto" w:fill="FFFFFF" w:themeFill="background1"/>
            <w:vAlign w:val="center"/>
          </w:tcPr>
          <w:p>
            <w:pPr>
              <w:adjustRightInd w:val="0"/>
              <w:snapToGrid w:val="0"/>
              <w:jc w:val="center"/>
              <w:rPr>
                <w:rFonts w:ascii="仿宋" w:hAnsi="仿宋" w:eastAsia="仿宋" w:cs="仿宋_GB2312"/>
                <w:sz w:val="21"/>
                <w:szCs w:val="21"/>
              </w:rPr>
            </w:pPr>
          </w:p>
        </w:tc>
        <w:tc>
          <w:tcPr>
            <w:tcW w:w="1415" w:type="dxa"/>
            <w:shd w:val="clear" w:color="auto" w:fill="FFFFFF" w:themeFill="background1"/>
            <w:vAlign w:val="center"/>
          </w:tcPr>
          <w:p>
            <w:pPr>
              <w:adjustRightInd w:val="0"/>
              <w:snapToGrid w:val="0"/>
              <w:jc w:val="center"/>
              <w:rPr>
                <w:rFonts w:ascii="仿宋" w:hAnsi="仿宋" w:eastAsia="仿宋" w:cs="仿宋_GB2312"/>
                <w:sz w:val="21"/>
                <w:szCs w:val="21"/>
              </w:rPr>
            </w:pPr>
          </w:p>
        </w:tc>
        <w:tc>
          <w:tcPr>
            <w:tcW w:w="4302" w:type="dxa"/>
            <w:shd w:val="clear" w:color="auto" w:fill="FFFFFF" w:themeFill="background1"/>
            <w:vAlign w:val="center"/>
          </w:tcPr>
          <w:p>
            <w:pPr>
              <w:adjustRightInd w:val="0"/>
              <w:snapToGrid w:val="0"/>
              <w:jc w:val="center"/>
              <w:rPr>
                <w:rFonts w:ascii="仿宋" w:hAnsi="仿宋" w:eastAsia="仿宋" w:cs="仿宋_GB2312"/>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958" w:type="dxa"/>
            <w:shd w:val="clear" w:color="auto" w:fill="FFFFFF" w:themeFill="background1"/>
            <w:vAlign w:val="center"/>
          </w:tcPr>
          <w:p>
            <w:pPr>
              <w:adjustRightInd w:val="0"/>
              <w:snapToGrid w:val="0"/>
              <w:jc w:val="center"/>
              <w:rPr>
                <w:rFonts w:ascii="仿宋" w:hAnsi="仿宋" w:eastAsia="仿宋" w:cs="仿宋_GB2312"/>
                <w:sz w:val="21"/>
                <w:szCs w:val="21"/>
              </w:rPr>
            </w:pPr>
            <w:r>
              <w:rPr>
                <w:rFonts w:hint="eastAsia" w:ascii="仿宋" w:hAnsi="仿宋" w:eastAsia="仿宋" w:cs="仿宋_GB2312"/>
                <w:sz w:val="21"/>
                <w:szCs w:val="21"/>
              </w:rPr>
              <w:t>2</w:t>
            </w:r>
          </w:p>
        </w:tc>
        <w:tc>
          <w:tcPr>
            <w:tcW w:w="1841" w:type="dxa"/>
            <w:shd w:val="clear" w:color="auto" w:fill="FFFFFF" w:themeFill="background1"/>
            <w:vAlign w:val="center"/>
          </w:tcPr>
          <w:p>
            <w:pPr>
              <w:adjustRightInd w:val="0"/>
              <w:snapToGrid w:val="0"/>
              <w:jc w:val="center"/>
              <w:rPr>
                <w:rFonts w:ascii="仿宋" w:hAnsi="仿宋" w:eastAsia="仿宋" w:cs="仿宋_GB2312"/>
                <w:sz w:val="21"/>
                <w:szCs w:val="21"/>
              </w:rPr>
            </w:pPr>
          </w:p>
        </w:tc>
        <w:tc>
          <w:tcPr>
            <w:tcW w:w="1415" w:type="dxa"/>
            <w:shd w:val="clear" w:color="auto" w:fill="FFFFFF" w:themeFill="background1"/>
            <w:vAlign w:val="center"/>
          </w:tcPr>
          <w:p>
            <w:pPr>
              <w:adjustRightInd w:val="0"/>
              <w:snapToGrid w:val="0"/>
              <w:jc w:val="center"/>
              <w:rPr>
                <w:rFonts w:ascii="仿宋" w:hAnsi="仿宋" w:eastAsia="仿宋" w:cs="仿宋_GB2312"/>
                <w:sz w:val="21"/>
                <w:szCs w:val="21"/>
              </w:rPr>
            </w:pPr>
          </w:p>
        </w:tc>
        <w:tc>
          <w:tcPr>
            <w:tcW w:w="4302" w:type="dxa"/>
            <w:shd w:val="clear" w:color="auto" w:fill="FFFFFF" w:themeFill="background1"/>
            <w:vAlign w:val="center"/>
          </w:tcPr>
          <w:p>
            <w:pPr>
              <w:adjustRightInd w:val="0"/>
              <w:snapToGrid w:val="0"/>
              <w:jc w:val="center"/>
              <w:rPr>
                <w:rFonts w:ascii="仿宋" w:hAnsi="仿宋" w:eastAsia="仿宋" w:cs="仿宋_GB2312"/>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958" w:type="dxa"/>
            <w:shd w:val="clear" w:color="auto" w:fill="FFFFFF" w:themeFill="background1"/>
            <w:vAlign w:val="center"/>
          </w:tcPr>
          <w:p>
            <w:pPr>
              <w:adjustRightInd w:val="0"/>
              <w:snapToGrid w:val="0"/>
              <w:jc w:val="center"/>
              <w:rPr>
                <w:rFonts w:ascii="楷体" w:hAnsi="楷体" w:eastAsia="楷体" w:cs="仿宋_GB2312"/>
              </w:rPr>
            </w:pPr>
            <w:r>
              <w:rPr>
                <w:rFonts w:hint="eastAsia" w:ascii="楷体" w:hAnsi="楷体" w:eastAsia="楷体" w:cs="仿宋_GB2312"/>
              </w:rPr>
              <w:t>…</w:t>
            </w:r>
          </w:p>
        </w:tc>
        <w:tc>
          <w:tcPr>
            <w:tcW w:w="1841" w:type="dxa"/>
            <w:shd w:val="clear" w:color="auto" w:fill="FFFFFF" w:themeFill="background1"/>
            <w:vAlign w:val="center"/>
          </w:tcPr>
          <w:p>
            <w:pPr>
              <w:adjustRightInd w:val="0"/>
              <w:snapToGrid w:val="0"/>
              <w:jc w:val="center"/>
              <w:rPr>
                <w:rFonts w:ascii="仿宋" w:hAnsi="仿宋" w:eastAsia="仿宋" w:cs="仿宋_GB2312"/>
                <w:sz w:val="28"/>
                <w:szCs w:val="28"/>
              </w:rPr>
            </w:pPr>
          </w:p>
        </w:tc>
        <w:tc>
          <w:tcPr>
            <w:tcW w:w="1415" w:type="dxa"/>
            <w:shd w:val="clear" w:color="auto" w:fill="FFFFFF" w:themeFill="background1"/>
            <w:vAlign w:val="center"/>
          </w:tcPr>
          <w:p>
            <w:pPr>
              <w:adjustRightInd w:val="0"/>
              <w:snapToGrid w:val="0"/>
              <w:jc w:val="center"/>
              <w:rPr>
                <w:rFonts w:ascii="仿宋" w:hAnsi="仿宋" w:eastAsia="仿宋" w:cs="仿宋_GB2312"/>
                <w:sz w:val="28"/>
                <w:szCs w:val="28"/>
              </w:rPr>
            </w:pPr>
          </w:p>
        </w:tc>
        <w:tc>
          <w:tcPr>
            <w:tcW w:w="4302" w:type="dxa"/>
            <w:shd w:val="clear" w:color="auto" w:fill="FFFFFF" w:themeFill="background1"/>
            <w:vAlign w:val="center"/>
          </w:tcPr>
          <w:p>
            <w:pPr>
              <w:adjustRightInd w:val="0"/>
              <w:snapToGrid w:val="0"/>
              <w:jc w:val="center"/>
              <w:rPr>
                <w:rFonts w:ascii="仿宋" w:hAnsi="仿宋" w:eastAsia="仿宋" w:cs="仿宋_GB2312"/>
                <w:sz w:val="28"/>
                <w:szCs w:val="28"/>
              </w:rPr>
            </w:pPr>
          </w:p>
        </w:tc>
      </w:tr>
    </w:tbl>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6.承办培训情况</w:t>
      </w:r>
    </w:p>
    <w:tbl>
      <w:tblPr>
        <w:tblStyle w:val="7"/>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20"/>
        <w:gridCol w:w="1800"/>
        <w:gridCol w:w="1440"/>
        <w:gridCol w:w="1080"/>
        <w:gridCol w:w="1260"/>
        <w:gridCol w:w="126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652" w:hRule="atLeast"/>
          <w:jc w:val="center"/>
        </w:trPr>
        <w:tc>
          <w:tcPr>
            <w:tcW w:w="720" w:type="dxa"/>
            <w:shd w:val="clear" w:color="auto" w:fill="FFFFFF" w:themeFill="background1"/>
            <w:vAlign w:val="center"/>
          </w:tcPr>
          <w:p>
            <w:pPr>
              <w:jc w:val="center"/>
              <w:rPr>
                <w:rFonts w:ascii="黑体" w:hAnsi="黑体" w:eastAsia="黑体"/>
              </w:rPr>
            </w:pPr>
            <w:r>
              <w:rPr>
                <w:rFonts w:hint="eastAsia" w:ascii="黑体" w:hAnsi="黑体" w:eastAsia="黑体" w:cs="宋体"/>
              </w:rPr>
              <w:t>序号</w:t>
            </w:r>
          </w:p>
        </w:tc>
        <w:tc>
          <w:tcPr>
            <w:tcW w:w="1800" w:type="dxa"/>
            <w:shd w:val="clear" w:color="auto" w:fill="FFFFFF" w:themeFill="background1"/>
            <w:vAlign w:val="center"/>
          </w:tcPr>
          <w:p>
            <w:pPr>
              <w:jc w:val="center"/>
              <w:rPr>
                <w:rFonts w:ascii="黑体" w:hAnsi="黑体" w:eastAsia="黑体"/>
              </w:rPr>
            </w:pPr>
            <w:r>
              <w:rPr>
                <w:rFonts w:hint="eastAsia" w:ascii="黑体" w:hAnsi="黑体" w:eastAsia="黑体" w:cs="宋体"/>
              </w:rPr>
              <w:t>培训项目名称</w:t>
            </w:r>
          </w:p>
        </w:tc>
        <w:tc>
          <w:tcPr>
            <w:tcW w:w="1440" w:type="dxa"/>
            <w:shd w:val="clear" w:color="auto" w:fill="FFFFFF" w:themeFill="background1"/>
            <w:vAlign w:val="center"/>
          </w:tcPr>
          <w:p>
            <w:pPr>
              <w:jc w:val="center"/>
              <w:rPr>
                <w:rFonts w:ascii="黑体" w:hAnsi="黑体" w:eastAsia="黑体"/>
              </w:rPr>
            </w:pPr>
            <w:r>
              <w:rPr>
                <w:rFonts w:hint="eastAsia" w:ascii="黑体" w:hAnsi="黑体" w:eastAsia="黑体"/>
              </w:rPr>
              <w:t>培训人数</w:t>
            </w:r>
          </w:p>
        </w:tc>
        <w:tc>
          <w:tcPr>
            <w:tcW w:w="1080" w:type="dxa"/>
            <w:shd w:val="clear" w:color="auto" w:fill="FFFFFF" w:themeFill="background1"/>
            <w:vAlign w:val="center"/>
          </w:tcPr>
          <w:p>
            <w:pPr>
              <w:jc w:val="center"/>
              <w:rPr>
                <w:rFonts w:ascii="黑体" w:hAnsi="黑体" w:eastAsia="黑体"/>
              </w:rPr>
            </w:pPr>
            <w:r>
              <w:rPr>
                <w:rFonts w:hint="eastAsia" w:ascii="黑体" w:hAnsi="黑体" w:eastAsia="黑体" w:cs="宋体"/>
              </w:rPr>
              <w:t>负责人</w:t>
            </w:r>
          </w:p>
        </w:tc>
        <w:tc>
          <w:tcPr>
            <w:tcW w:w="1260" w:type="dxa"/>
            <w:shd w:val="clear" w:color="auto" w:fill="FFFFFF" w:themeFill="background1"/>
            <w:vAlign w:val="center"/>
          </w:tcPr>
          <w:p>
            <w:pPr>
              <w:jc w:val="center"/>
              <w:rPr>
                <w:rFonts w:ascii="黑体" w:hAnsi="黑体" w:eastAsia="黑体"/>
              </w:rPr>
            </w:pPr>
            <w:r>
              <w:rPr>
                <w:rFonts w:hint="eastAsia" w:ascii="黑体" w:hAnsi="黑体" w:eastAsia="黑体" w:cs="宋体"/>
              </w:rPr>
              <w:t>职称</w:t>
            </w:r>
          </w:p>
        </w:tc>
        <w:tc>
          <w:tcPr>
            <w:tcW w:w="1260" w:type="dxa"/>
            <w:shd w:val="clear" w:color="auto" w:fill="FFFFFF" w:themeFill="background1"/>
            <w:vAlign w:val="center"/>
          </w:tcPr>
          <w:p>
            <w:pPr>
              <w:jc w:val="center"/>
              <w:rPr>
                <w:rFonts w:ascii="黑体" w:hAnsi="黑体" w:eastAsia="黑体"/>
              </w:rPr>
            </w:pPr>
            <w:r>
              <w:rPr>
                <w:rFonts w:hint="eastAsia" w:ascii="黑体" w:hAnsi="黑体" w:eastAsia="黑体" w:cs="宋体"/>
              </w:rPr>
              <w:t>起止时间</w:t>
            </w:r>
          </w:p>
        </w:tc>
        <w:tc>
          <w:tcPr>
            <w:tcW w:w="1080" w:type="dxa"/>
            <w:shd w:val="clear" w:color="auto" w:fill="FFFFFF" w:themeFill="background1"/>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shd w:val="clear" w:color="auto" w:fill="FFFFFF" w:themeFill="background1"/>
            <w:vAlign w:val="center"/>
          </w:tcPr>
          <w:p>
            <w:pPr>
              <w:spacing w:line="320" w:lineRule="exact"/>
              <w:jc w:val="center"/>
              <w:rPr>
                <w:rFonts w:ascii="楷体" w:hAnsi="楷体" w:eastAsia="楷体"/>
              </w:rPr>
            </w:pPr>
            <w:r>
              <w:rPr>
                <w:rFonts w:hint="eastAsia" w:ascii="楷体" w:hAnsi="楷体" w:eastAsia="楷体"/>
              </w:rPr>
              <w:t>1</w:t>
            </w:r>
          </w:p>
        </w:tc>
        <w:tc>
          <w:tcPr>
            <w:tcW w:w="1800" w:type="dxa"/>
            <w:shd w:val="clear" w:color="auto" w:fill="FFFFFF" w:themeFill="background1"/>
            <w:vAlign w:val="center"/>
          </w:tcPr>
          <w:p>
            <w:pPr>
              <w:spacing w:line="320" w:lineRule="exact"/>
              <w:jc w:val="center"/>
              <w:rPr>
                <w:rFonts w:ascii="仿宋" w:hAnsi="仿宋" w:eastAsia="仿宋"/>
                <w:sz w:val="21"/>
                <w:szCs w:val="21"/>
              </w:rPr>
            </w:pPr>
            <w:r>
              <w:rPr>
                <w:rFonts w:hint="eastAsia" w:ascii="仿宋" w:hAnsi="仿宋" w:eastAsia="仿宋"/>
                <w:shd w:val="clear" w:color="auto" w:fill="FFFFFF"/>
              </w:rPr>
              <w:t>BIM软件revit和MagicCAD 2021配套族库软件培训</w:t>
            </w:r>
          </w:p>
        </w:tc>
        <w:tc>
          <w:tcPr>
            <w:tcW w:w="1440" w:type="dxa"/>
            <w:shd w:val="clear" w:color="auto" w:fill="FFFFFF" w:themeFill="background1"/>
            <w:vAlign w:val="center"/>
          </w:tcPr>
          <w:p>
            <w:pPr>
              <w:spacing w:line="320" w:lineRule="exact"/>
              <w:jc w:val="center"/>
              <w:rPr>
                <w:rFonts w:ascii="仿宋" w:hAnsi="仿宋" w:eastAsia="仿宋"/>
                <w:sz w:val="21"/>
                <w:szCs w:val="21"/>
              </w:rPr>
            </w:pPr>
            <w:r>
              <w:rPr>
                <w:rFonts w:hint="eastAsia" w:ascii="仿宋" w:hAnsi="仿宋" w:eastAsia="仿宋"/>
                <w:sz w:val="21"/>
                <w:szCs w:val="21"/>
              </w:rPr>
              <w:t>70</w:t>
            </w:r>
          </w:p>
        </w:tc>
        <w:tc>
          <w:tcPr>
            <w:tcW w:w="1080" w:type="dxa"/>
            <w:shd w:val="clear" w:color="auto" w:fill="FFFFFF" w:themeFill="background1"/>
            <w:vAlign w:val="center"/>
          </w:tcPr>
          <w:p>
            <w:pPr>
              <w:spacing w:line="320" w:lineRule="exact"/>
              <w:jc w:val="center"/>
              <w:rPr>
                <w:rFonts w:ascii="仿宋" w:hAnsi="仿宋" w:eastAsia="仿宋"/>
                <w:sz w:val="21"/>
                <w:szCs w:val="21"/>
              </w:rPr>
            </w:pPr>
            <w:r>
              <w:rPr>
                <w:rFonts w:ascii="仿宋" w:hAnsi="仿宋" w:eastAsia="仿宋"/>
                <w:sz w:val="21"/>
                <w:szCs w:val="21"/>
              </w:rPr>
              <w:t>苏刚</w:t>
            </w:r>
          </w:p>
        </w:tc>
        <w:tc>
          <w:tcPr>
            <w:tcW w:w="1260" w:type="dxa"/>
            <w:shd w:val="clear" w:color="auto" w:fill="FFFFFF" w:themeFill="background1"/>
            <w:vAlign w:val="center"/>
          </w:tcPr>
          <w:p>
            <w:pPr>
              <w:spacing w:line="320" w:lineRule="exact"/>
              <w:jc w:val="center"/>
              <w:rPr>
                <w:rFonts w:ascii="仿宋" w:hAnsi="仿宋" w:eastAsia="仿宋"/>
                <w:sz w:val="21"/>
                <w:szCs w:val="21"/>
              </w:rPr>
            </w:pPr>
            <w:r>
              <w:rPr>
                <w:rFonts w:ascii="仿宋" w:hAnsi="仿宋" w:eastAsia="仿宋"/>
                <w:sz w:val="21"/>
                <w:szCs w:val="21"/>
              </w:rPr>
              <w:t>教授</w:t>
            </w:r>
          </w:p>
        </w:tc>
        <w:tc>
          <w:tcPr>
            <w:tcW w:w="1260" w:type="dxa"/>
            <w:shd w:val="clear" w:color="auto" w:fill="FFFFFF" w:themeFill="background1"/>
            <w:vAlign w:val="center"/>
          </w:tcPr>
          <w:p>
            <w:pPr>
              <w:spacing w:line="320" w:lineRule="exact"/>
              <w:jc w:val="center"/>
              <w:rPr>
                <w:rFonts w:ascii="仿宋" w:hAnsi="仿宋" w:eastAsia="仿宋"/>
                <w:sz w:val="21"/>
                <w:szCs w:val="21"/>
              </w:rPr>
            </w:pPr>
            <w:r>
              <w:rPr>
                <w:rFonts w:hint="eastAsia" w:ascii="仿宋" w:hAnsi="仿宋" w:eastAsia="仿宋"/>
                <w:sz w:val="21"/>
                <w:szCs w:val="21"/>
              </w:rPr>
              <w:t>2021年6月2日</w:t>
            </w:r>
          </w:p>
        </w:tc>
        <w:tc>
          <w:tcPr>
            <w:tcW w:w="1080" w:type="dxa"/>
            <w:shd w:val="clear" w:color="auto" w:fill="FFFFFF" w:themeFill="background1"/>
            <w:vAlign w:val="center"/>
          </w:tcPr>
          <w:p>
            <w:pPr>
              <w:spacing w:line="320" w:lineRule="exact"/>
              <w:jc w:val="center"/>
              <w:rPr>
                <w:rFonts w:ascii="仿宋" w:hAnsi="仿宋" w:eastAsia="仿宋"/>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shd w:val="clear" w:color="auto" w:fill="FFFFFF" w:themeFill="background1"/>
            <w:vAlign w:val="center"/>
          </w:tcPr>
          <w:p>
            <w:pPr>
              <w:spacing w:line="320" w:lineRule="exact"/>
              <w:jc w:val="center"/>
              <w:rPr>
                <w:rFonts w:ascii="楷体" w:hAnsi="楷体" w:eastAsia="楷体"/>
              </w:rPr>
            </w:pPr>
            <w:r>
              <w:rPr>
                <w:rFonts w:hint="eastAsia" w:ascii="楷体" w:hAnsi="楷体" w:eastAsia="楷体"/>
              </w:rPr>
              <w:t>2</w:t>
            </w:r>
          </w:p>
        </w:tc>
        <w:tc>
          <w:tcPr>
            <w:tcW w:w="1800" w:type="dxa"/>
            <w:shd w:val="clear" w:color="auto" w:fill="FFFFFF" w:themeFill="background1"/>
            <w:vAlign w:val="center"/>
          </w:tcPr>
          <w:p>
            <w:pPr>
              <w:spacing w:line="320" w:lineRule="exact"/>
              <w:jc w:val="center"/>
              <w:rPr>
                <w:rFonts w:ascii="仿宋" w:hAnsi="仿宋" w:eastAsia="仿宋"/>
                <w:sz w:val="28"/>
                <w:szCs w:val="28"/>
              </w:rPr>
            </w:pPr>
          </w:p>
        </w:tc>
        <w:tc>
          <w:tcPr>
            <w:tcW w:w="1440" w:type="dxa"/>
            <w:shd w:val="clear" w:color="auto" w:fill="FFFFFF" w:themeFill="background1"/>
            <w:vAlign w:val="center"/>
          </w:tcPr>
          <w:p>
            <w:pPr>
              <w:spacing w:line="320" w:lineRule="exact"/>
              <w:jc w:val="center"/>
              <w:rPr>
                <w:rFonts w:ascii="仿宋" w:hAnsi="仿宋" w:eastAsia="仿宋"/>
                <w:sz w:val="28"/>
                <w:szCs w:val="28"/>
              </w:rPr>
            </w:pPr>
          </w:p>
        </w:tc>
        <w:tc>
          <w:tcPr>
            <w:tcW w:w="1080" w:type="dxa"/>
            <w:shd w:val="clear" w:color="auto" w:fill="FFFFFF" w:themeFill="background1"/>
            <w:vAlign w:val="center"/>
          </w:tcPr>
          <w:p>
            <w:pPr>
              <w:spacing w:line="320" w:lineRule="exact"/>
              <w:jc w:val="center"/>
              <w:rPr>
                <w:rFonts w:ascii="仿宋" w:hAnsi="仿宋" w:eastAsia="仿宋"/>
                <w:sz w:val="28"/>
                <w:szCs w:val="28"/>
              </w:rPr>
            </w:pPr>
          </w:p>
        </w:tc>
        <w:tc>
          <w:tcPr>
            <w:tcW w:w="1260" w:type="dxa"/>
            <w:shd w:val="clear" w:color="auto" w:fill="FFFFFF" w:themeFill="background1"/>
            <w:vAlign w:val="center"/>
          </w:tcPr>
          <w:p>
            <w:pPr>
              <w:spacing w:line="320" w:lineRule="exact"/>
              <w:jc w:val="center"/>
              <w:rPr>
                <w:rFonts w:ascii="仿宋" w:hAnsi="仿宋" w:eastAsia="仿宋"/>
                <w:sz w:val="28"/>
                <w:szCs w:val="28"/>
              </w:rPr>
            </w:pPr>
          </w:p>
        </w:tc>
        <w:tc>
          <w:tcPr>
            <w:tcW w:w="1260" w:type="dxa"/>
            <w:shd w:val="clear" w:color="auto" w:fill="FFFFFF" w:themeFill="background1"/>
            <w:vAlign w:val="center"/>
          </w:tcPr>
          <w:p>
            <w:pPr>
              <w:spacing w:line="320" w:lineRule="exact"/>
              <w:jc w:val="center"/>
              <w:rPr>
                <w:rFonts w:ascii="仿宋" w:hAnsi="仿宋" w:eastAsia="仿宋"/>
                <w:sz w:val="28"/>
                <w:szCs w:val="28"/>
              </w:rPr>
            </w:pPr>
          </w:p>
        </w:tc>
        <w:tc>
          <w:tcPr>
            <w:tcW w:w="1080" w:type="dxa"/>
            <w:shd w:val="clear" w:color="auto" w:fill="FFFFFF" w:themeFill="background1"/>
            <w:vAlign w:val="center"/>
          </w:tcPr>
          <w:p>
            <w:pPr>
              <w:spacing w:line="320" w:lineRule="exact"/>
              <w:jc w:val="center"/>
              <w:rPr>
                <w:rFonts w:ascii="仿宋" w:hAnsi="仿宋" w:eastAsia="仿宋"/>
                <w:sz w:val="28"/>
                <w:szCs w:val="28"/>
              </w:rPr>
            </w:pPr>
          </w:p>
        </w:tc>
      </w:tr>
    </w:tbl>
    <w:p>
      <w:pPr>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8"/>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2129"/>
        <w:gridCol w:w="2129"/>
        <w:gridCol w:w="42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2" w:hRule="atLeast"/>
        </w:trPr>
        <w:tc>
          <w:tcPr>
            <w:tcW w:w="4258" w:type="dxa"/>
            <w:gridSpan w:val="2"/>
            <w:shd w:val="clear" w:color="auto" w:fill="FFFFFF" w:themeFill="background1"/>
            <w:vAlign w:val="center"/>
          </w:tcPr>
          <w:p>
            <w:pPr>
              <w:adjustRightInd w:val="0"/>
              <w:snapToGrid w:val="0"/>
              <w:jc w:val="center"/>
              <w:rPr>
                <w:rFonts w:ascii="黑体" w:hAnsi="黑体" w:eastAsia="黑体" w:cs="Times New Roman"/>
                <w:bCs/>
              </w:rPr>
            </w:pPr>
            <w:bookmarkStart w:id="103" w:name="_GoBack"/>
            <w:r>
              <w:rPr>
                <w:rFonts w:hint="eastAsia" w:ascii="黑体" w:hAnsi="黑体" w:eastAsia="黑体" w:cs="Times New Roman"/>
                <w:bCs/>
              </w:rPr>
              <w:t>安全教育培训情况</w:t>
            </w:r>
          </w:p>
        </w:tc>
        <w:tc>
          <w:tcPr>
            <w:tcW w:w="4258" w:type="dxa"/>
            <w:shd w:val="clear" w:color="auto" w:fill="FFFFFF" w:themeFill="background1"/>
            <w:vAlign w:val="center"/>
          </w:tcPr>
          <w:p>
            <w:pPr>
              <w:adjustRightInd w:val="0"/>
              <w:snapToGrid w:val="0"/>
              <w:jc w:val="center"/>
              <w:rPr>
                <w:rFonts w:ascii="楷体" w:hAnsi="楷体" w:eastAsia="楷体" w:cs="Times New Roman"/>
                <w:bCs/>
              </w:rPr>
            </w:pPr>
            <w:r>
              <w:rPr>
                <w:rFonts w:hint="eastAsia" w:ascii="楷体" w:hAnsi="楷体" w:eastAsia="楷体" w:cs="Times New Roman"/>
                <w:bCs/>
              </w:rPr>
              <w:t>2086人次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16" w:type="dxa"/>
            <w:gridSpan w:val="3"/>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58" w:type="dxa"/>
            <w:gridSpan w:val="2"/>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58" w:type="dxa"/>
            <w:vMerge w:val="restart"/>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2" w:hRule="atLeast"/>
        </w:trPr>
        <w:tc>
          <w:tcPr>
            <w:tcW w:w="2129" w:type="dxa"/>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29" w:type="dxa"/>
            <w:shd w:val="clear" w:color="auto" w:fill="FFFFFF" w:themeFill="background1"/>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58" w:type="dxa"/>
            <w:vMerge w:val="continue"/>
            <w:shd w:val="clear" w:color="auto" w:fill="FFFFFF" w:themeFill="background1"/>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2" w:hRule="atLeast"/>
        </w:trPr>
        <w:tc>
          <w:tcPr>
            <w:tcW w:w="2129" w:type="dxa"/>
            <w:shd w:val="clear" w:color="auto" w:fill="FFFFFF" w:themeFill="background1"/>
            <w:vAlign w:val="center"/>
          </w:tcPr>
          <w:p>
            <w:pPr>
              <w:adjustRightInd w:val="0"/>
              <w:snapToGrid w:val="0"/>
              <w:jc w:val="center"/>
              <w:rPr>
                <w:rFonts w:ascii="仿宋" w:hAnsi="仿宋" w:eastAsia="仿宋" w:cs="Times New Roman"/>
                <w:bCs/>
                <w:sz w:val="28"/>
                <w:szCs w:val="28"/>
              </w:rPr>
            </w:pPr>
          </w:p>
        </w:tc>
        <w:tc>
          <w:tcPr>
            <w:tcW w:w="2129" w:type="dxa"/>
            <w:shd w:val="clear" w:color="auto" w:fill="FFFFFF" w:themeFill="background1"/>
            <w:vAlign w:val="center"/>
          </w:tcPr>
          <w:p>
            <w:pPr>
              <w:adjustRightInd w:val="0"/>
              <w:snapToGrid w:val="0"/>
              <w:jc w:val="center"/>
              <w:rPr>
                <w:rFonts w:ascii="仿宋" w:hAnsi="仿宋" w:eastAsia="仿宋" w:cs="Times New Roman"/>
                <w:bCs/>
                <w:sz w:val="28"/>
                <w:szCs w:val="28"/>
              </w:rPr>
            </w:pPr>
          </w:p>
        </w:tc>
        <w:tc>
          <w:tcPr>
            <w:tcW w:w="4258" w:type="dxa"/>
            <w:shd w:val="clear" w:color="auto" w:fill="FFFFFF" w:themeFill="background1"/>
            <w:vAlign w:val="center"/>
          </w:tcPr>
          <w:p>
            <w:pPr>
              <w:adjustRightInd w:val="0"/>
              <w:snapToGrid w:val="0"/>
              <w:jc w:val="center"/>
              <w:rPr>
                <w:rFonts w:ascii="仿宋" w:hAnsi="仿宋" w:eastAsia="仿宋" w:cs="Times New Roman"/>
                <w:bCs/>
                <w:sz w:val="28"/>
                <w:szCs w:val="28"/>
              </w:rPr>
            </w:pPr>
            <w:r>
              <w:rPr>
                <w:rFonts w:ascii="Arial" w:hAnsi="Arial" w:eastAsia="仿宋" w:cs="Arial"/>
                <w:bCs/>
                <w:sz w:val="28"/>
                <w:szCs w:val="28"/>
              </w:rPr>
              <w:t>√</w:t>
            </w:r>
          </w:p>
        </w:tc>
      </w:tr>
      <w:bookmarkEnd w:id="103"/>
    </w:tbl>
    <w:p>
      <w:pPr>
        <w:adjustRightInd w:val="0"/>
        <w:snapToGrid w:val="0"/>
        <w:ind w:firstLine="480" w:firstLineChars="200"/>
        <w:rPr>
          <w:rFonts w:ascii="仿宋" w:hAnsi="仿宋" w:eastAsia="仿宋" w:cs="Times New Roman"/>
          <w:kern w:val="0"/>
          <w:sz w:val="32"/>
          <w:szCs w:val="32"/>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sectPr>
      <w:pgSz w:w="11900" w:h="16840"/>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hNjE0MjZiZTRmNmEwZjYwM2Q2YTJiYWNiN2ViZDEifQ=="/>
  </w:docVars>
  <w:rsids>
    <w:rsidRoot w:val="00731006"/>
    <w:rsid w:val="00000D10"/>
    <w:rsid w:val="00020CDF"/>
    <w:rsid w:val="0002120A"/>
    <w:rsid w:val="000237CF"/>
    <w:rsid w:val="00024A5A"/>
    <w:rsid w:val="00031EE5"/>
    <w:rsid w:val="000329B8"/>
    <w:rsid w:val="000409CA"/>
    <w:rsid w:val="000448F1"/>
    <w:rsid w:val="00060D1B"/>
    <w:rsid w:val="000649BD"/>
    <w:rsid w:val="00067E8E"/>
    <w:rsid w:val="000725DB"/>
    <w:rsid w:val="000768A2"/>
    <w:rsid w:val="00083D06"/>
    <w:rsid w:val="00093A6C"/>
    <w:rsid w:val="000A446B"/>
    <w:rsid w:val="000A44B8"/>
    <w:rsid w:val="000C2E66"/>
    <w:rsid w:val="000C534E"/>
    <w:rsid w:val="000C6DB7"/>
    <w:rsid w:val="000E55E8"/>
    <w:rsid w:val="00101639"/>
    <w:rsid w:val="00107BD7"/>
    <w:rsid w:val="00117856"/>
    <w:rsid w:val="00117BAC"/>
    <w:rsid w:val="00117FE9"/>
    <w:rsid w:val="0012203A"/>
    <w:rsid w:val="00132C3F"/>
    <w:rsid w:val="00152120"/>
    <w:rsid w:val="001522DA"/>
    <w:rsid w:val="00153C5C"/>
    <w:rsid w:val="00165AC5"/>
    <w:rsid w:val="00176967"/>
    <w:rsid w:val="00180107"/>
    <w:rsid w:val="00187993"/>
    <w:rsid w:val="00192565"/>
    <w:rsid w:val="001A04EE"/>
    <w:rsid w:val="001A26BC"/>
    <w:rsid w:val="001A7536"/>
    <w:rsid w:val="001D3BDC"/>
    <w:rsid w:val="001E1DCA"/>
    <w:rsid w:val="001E1E41"/>
    <w:rsid w:val="001E7D18"/>
    <w:rsid w:val="001F50D6"/>
    <w:rsid w:val="001F5E08"/>
    <w:rsid w:val="001F5E33"/>
    <w:rsid w:val="002318CD"/>
    <w:rsid w:val="002337CC"/>
    <w:rsid w:val="00246D1F"/>
    <w:rsid w:val="0025076B"/>
    <w:rsid w:val="00250AA7"/>
    <w:rsid w:val="002541A5"/>
    <w:rsid w:val="002570D2"/>
    <w:rsid w:val="00260E32"/>
    <w:rsid w:val="00261401"/>
    <w:rsid w:val="00263513"/>
    <w:rsid w:val="0027225C"/>
    <w:rsid w:val="00274DA3"/>
    <w:rsid w:val="00277A91"/>
    <w:rsid w:val="002931AB"/>
    <w:rsid w:val="0029464E"/>
    <w:rsid w:val="002A753F"/>
    <w:rsid w:val="002B380D"/>
    <w:rsid w:val="002C057B"/>
    <w:rsid w:val="002C669C"/>
    <w:rsid w:val="002D3D0F"/>
    <w:rsid w:val="002D6D43"/>
    <w:rsid w:val="002E68B7"/>
    <w:rsid w:val="002E73BD"/>
    <w:rsid w:val="002E7A69"/>
    <w:rsid w:val="002F307B"/>
    <w:rsid w:val="002F56DB"/>
    <w:rsid w:val="00310A19"/>
    <w:rsid w:val="00332AD8"/>
    <w:rsid w:val="0034567C"/>
    <w:rsid w:val="003514F0"/>
    <w:rsid w:val="0036392C"/>
    <w:rsid w:val="003647CF"/>
    <w:rsid w:val="00367498"/>
    <w:rsid w:val="003722BD"/>
    <w:rsid w:val="00377308"/>
    <w:rsid w:val="003912DD"/>
    <w:rsid w:val="00391928"/>
    <w:rsid w:val="00393693"/>
    <w:rsid w:val="00394001"/>
    <w:rsid w:val="003974B3"/>
    <w:rsid w:val="003A4001"/>
    <w:rsid w:val="003B214B"/>
    <w:rsid w:val="003B40C7"/>
    <w:rsid w:val="003C0409"/>
    <w:rsid w:val="003D0BEF"/>
    <w:rsid w:val="003D5051"/>
    <w:rsid w:val="003E31A3"/>
    <w:rsid w:val="004048AD"/>
    <w:rsid w:val="0041506F"/>
    <w:rsid w:val="0042301E"/>
    <w:rsid w:val="00434B26"/>
    <w:rsid w:val="00436609"/>
    <w:rsid w:val="004604EC"/>
    <w:rsid w:val="0046335C"/>
    <w:rsid w:val="00464550"/>
    <w:rsid w:val="00474938"/>
    <w:rsid w:val="00487665"/>
    <w:rsid w:val="00490627"/>
    <w:rsid w:val="0049294E"/>
    <w:rsid w:val="004A09C7"/>
    <w:rsid w:val="004A0C69"/>
    <w:rsid w:val="004B2945"/>
    <w:rsid w:val="004B7E01"/>
    <w:rsid w:val="004B7E75"/>
    <w:rsid w:val="004C1EC8"/>
    <w:rsid w:val="004C1F5E"/>
    <w:rsid w:val="004D25E5"/>
    <w:rsid w:val="004D2B81"/>
    <w:rsid w:val="004F27AD"/>
    <w:rsid w:val="00500DA4"/>
    <w:rsid w:val="00504DC8"/>
    <w:rsid w:val="00516971"/>
    <w:rsid w:val="00532AE5"/>
    <w:rsid w:val="00545AB5"/>
    <w:rsid w:val="00550F5A"/>
    <w:rsid w:val="005513FC"/>
    <w:rsid w:val="00560715"/>
    <w:rsid w:val="00566E03"/>
    <w:rsid w:val="00571B4B"/>
    <w:rsid w:val="00572E15"/>
    <w:rsid w:val="005938FB"/>
    <w:rsid w:val="005A5E64"/>
    <w:rsid w:val="005B4B6C"/>
    <w:rsid w:val="005D0736"/>
    <w:rsid w:val="00601467"/>
    <w:rsid w:val="00613227"/>
    <w:rsid w:val="006167A0"/>
    <w:rsid w:val="00657513"/>
    <w:rsid w:val="00657DF9"/>
    <w:rsid w:val="00665533"/>
    <w:rsid w:val="00682C85"/>
    <w:rsid w:val="00691A50"/>
    <w:rsid w:val="00696B85"/>
    <w:rsid w:val="006A5522"/>
    <w:rsid w:val="006B3F45"/>
    <w:rsid w:val="006B6084"/>
    <w:rsid w:val="006C7668"/>
    <w:rsid w:val="006D4FA6"/>
    <w:rsid w:val="006D7589"/>
    <w:rsid w:val="006E0CB2"/>
    <w:rsid w:val="006E20DF"/>
    <w:rsid w:val="006F09AF"/>
    <w:rsid w:val="006F597C"/>
    <w:rsid w:val="00700252"/>
    <w:rsid w:val="007119EB"/>
    <w:rsid w:val="007259ED"/>
    <w:rsid w:val="00731006"/>
    <w:rsid w:val="007556CC"/>
    <w:rsid w:val="00773249"/>
    <w:rsid w:val="00774E08"/>
    <w:rsid w:val="00776668"/>
    <w:rsid w:val="00777153"/>
    <w:rsid w:val="007921BC"/>
    <w:rsid w:val="007A130E"/>
    <w:rsid w:val="007A7F01"/>
    <w:rsid w:val="007B1657"/>
    <w:rsid w:val="007B53E5"/>
    <w:rsid w:val="007D6223"/>
    <w:rsid w:val="007E2541"/>
    <w:rsid w:val="007F0956"/>
    <w:rsid w:val="007F507A"/>
    <w:rsid w:val="007F54E4"/>
    <w:rsid w:val="00803494"/>
    <w:rsid w:val="0080612A"/>
    <w:rsid w:val="008112D4"/>
    <w:rsid w:val="00812B8A"/>
    <w:rsid w:val="00825CD3"/>
    <w:rsid w:val="00836E97"/>
    <w:rsid w:val="00845FAF"/>
    <w:rsid w:val="00847E4F"/>
    <w:rsid w:val="0085342E"/>
    <w:rsid w:val="0085403E"/>
    <w:rsid w:val="0086108B"/>
    <w:rsid w:val="00871DED"/>
    <w:rsid w:val="008858E7"/>
    <w:rsid w:val="0089273F"/>
    <w:rsid w:val="00897C95"/>
    <w:rsid w:val="00897F59"/>
    <w:rsid w:val="008A21D2"/>
    <w:rsid w:val="008A2496"/>
    <w:rsid w:val="008D0BF6"/>
    <w:rsid w:val="008D11D8"/>
    <w:rsid w:val="008D7917"/>
    <w:rsid w:val="008F179F"/>
    <w:rsid w:val="00902A76"/>
    <w:rsid w:val="00902DE6"/>
    <w:rsid w:val="00903D29"/>
    <w:rsid w:val="00923471"/>
    <w:rsid w:val="0092650E"/>
    <w:rsid w:val="009348F3"/>
    <w:rsid w:val="00941F03"/>
    <w:rsid w:val="00951680"/>
    <w:rsid w:val="00953DD4"/>
    <w:rsid w:val="00962AD2"/>
    <w:rsid w:val="00970B07"/>
    <w:rsid w:val="00973D30"/>
    <w:rsid w:val="00977BCB"/>
    <w:rsid w:val="00993A69"/>
    <w:rsid w:val="009A1C8B"/>
    <w:rsid w:val="009A63AD"/>
    <w:rsid w:val="009B20B2"/>
    <w:rsid w:val="009B4E06"/>
    <w:rsid w:val="009B59DE"/>
    <w:rsid w:val="009B75E7"/>
    <w:rsid w:val="009C0DB3"/>
    <w:rsid w:val="009C5AAB"/>
    <w:rsid w:val="009D49D5"/>
    <w:rsid w:val="009E27AB"/>
    <w:rsid w:val="009E36C0"/>
    <w:rsid w:val="009F0B7F"/>
    <w:rsid w:val="009F2C4D"/>
    <w:rsid w:val="00A04440"/>
    <w:rsid w:val="00A323B1"/>
    <w:rsid w:val="00A3494A"/>
    <w:rsid w:val="00A42F49"/>
    <w:rsid w:val="00A44CFD"/>
    <w:rsid w:val="00A52B70"/>
    <w:rsid w:val="00A65B24"/>
    <w:rsid w:val="00A85D7B"/>
    <w:rsid w:val="00AA1D04"/>
    <w:rsid w:val="00AA7370"/>
    <w:rsid w:val="00AB01DF"/>
    <w:rsid w:val="00AB27F1"/>
    <w:rsid w:val="00AB2B69"/>
    <w:rsid w:val="00AC36AA"/>
    <w:rsid w:val="00AF0A94"/>
    <w:rsid w:val="00AF2FB2"/>
    <w:rsid w:val="00B06CC5"/>
    <w:rsid w:val="00B23129"/>
    <w:rsid w:val="00B26FD6"/>
    <w:rsid w:val="00B40E37"/>
    <w:rsid w:val="00B44470"/>
    <w:rsid w:val="00B54E1E"/>
    <w:rsid w:val="00B559E7"/>
    <w:rsid w:val="00B7303C"/>
    <w:rsid w:val="00B741B0"/>
    <w:rsid w:val="00B83EE0"/>
    <w:rsid w:val="00BA216D"/>
    <w:rsid w:val="00BA2783"/>
    <w:rsid w:val="00BB04F3"/>
    <w:rsid w:val="00BB1873"/>
    <w:rsid w:val="00BC61F0"/>
    <w:rsid w:val="00BD5723"/>
    <w:rsid w:val="00BE19BD"/>
    <w:rsid w:val="00BE60A0"/>
    <w:rsid w:val="00BE6893"/>
    <w:rsid w:val="00C052AF"/>
    <w:rsid w:val="00C12FCB"/>
    <w:rsid w:val="00C27BE9"/>
    <w:rsid w:val="00C32494"/>
    <w:rsid w:val="00C563C7"/>
    <w:rsid w:val="00C64908"/>
    <w:rsid w:val="00C92499"/>
    <w:rsid w:val="00CA0E3E"/>
    <w:rsid w:val="00CA15E6"/>
    <w:rsid w:val="00CA4A00"/>
    <w:rsid w:val="00CB6DDC"/>
    <w:rsid w:val="00CC0ED2"/>
    <w:rsid w:val="00CC3A31"/>
    <w:rsid w:val="00CC6874"/>
    <w:rsid w:val="00CC7476"/>
    <w:rsid w:val="00CD22C4"/>
    <w:rsid w:val="00CD2AFA"/>
    <w:rsid w:val="00D104A7"/>
    <w:rsid w:val="00D1592C"/>
    <w:rsid w:val="00D15DBA"/>
    <w:rsid w:val="00D246EE"/>
    <w:rsid w:val="00D415CE"/>
    <w:rsid w:val="00D43756"/>
    <w:rsid w:val="00D533D2"/>
    <w:rsid w:val="00D641CC"/>
    <w:rsid w:val="00D71F02"/>
    <w:rsid w:val="00D83974"/>
    <w:rsid w:val="00D84BFB"/>
    <w:rsid w:val="00D86262"/>
    <w:rsid w:val="00D8654B"/>
    <w:rsid w:val="00DB5EAB"/>
    <w:rsid w:val="00DC08C3"/>
    <w:rsid w:val="00DC5E5D"/>
    <w:rsid w:val="00DC5F2B"/>
    <w:rsid w:val="00DD099D"/>
    <w:rsid w:val="00DD27BF"/>
    <w:rsid w:val="00DD3CDA"/>
    <w:rsid w:val="00DD5376"/>
    <w:rsid w:val="00DD7713"/>
    <w:rsid w:val="00DE0984"/>
    <w:rsid w:val="00DE5588"/>
    <w:rsid w:val="00DE592A"/>
    <w:rsid w:val="00E05E7B"/>
    <w:rsid w:val="00E16FE1"/>
    <w:rsid w:val="00E2410C"/>
    <w:rsid w:val="00E26B1D"/>
    <w:rsid w:val="00E3026E"/>
    <w:rsid w:val="00E37A7A"/>
    <w:rsid w:val="00E50A90"/>
    <w:rsid w:val="00E554F9"/>
    <w:rsid w:val="00E767EB"/>
    <w:rsid w:val="00E85D1F"/>
    <w:rsid w:val="00EA2FC0"/>
    <w:rsid w:val="00EA40EE"/>
    <w:rsid w:val="00EB265B"/>
    <w:rsid w:val="00EC5CDE"/>
    <w:rsid w:val="00EE0A25"/>
    <w:rsid w:val="00EE0B70"/>
    <w:rsid w:val="00EE17BC"/>
    <w:rsid w:val="00EF0314"/>
    <w:rsid w:val="00F1737A"/>
    <w:rsid w:val="00F25CC0"/>
    <w:rsid w:val="00F26732"/>
    <w:rsid w:val="00F31FA5"/>
    <w:rsid w:val="00F42B4A"/>
    <w:rsid w:val="00F4623B"/>
    <w:rsid w:val="00F51631"/>
    <w:rsid w:val="00F52A0B"/>
    <w:rsid w:val="00F53442"/>
    <w:rsid w:val="00F677D4"/>
    <w:rsid w:val="00F70342"/>
    <w:rsid w:val="00F74F47"/>
    <w:rsid w:val="00F9467E"/>
    <w:rsid w:val="00F9476C"/>
    <w:rsid w:val="00F976C3"/>
    <w:rsid w:val="00FA5EDF"/>
    <w:rsid w:val="00FB0C0F"/>
    <w:rsid w:val="00FB1290"/>
    <w:rsid w:val="00FB1D7C"/>
    <w:rsid w:val="00FB3098"/>
    <w:rsid w:val="00FB3D68"/>
    <w:rsid w:val="00FE04D5"/>
    <w:rsid w:val="00FE4E0F"/>
    <w:rsid w:val="00FF4440"/>
    <w:rsid w:val="04CA0806"/>
    <w:rsid w:val="052728D2"/>
    <w:rsid w:val="0869448C"/>
    <w:rsid w:val="0DA74DB1"/>
    <w:rsid w:val="0EA31065"/>
    <w:rsid w:val="109F7377"/>
    <w:rsid w:val="286010BE"/>
    <w:rsid w:val="2BD83656"/>
    <w:rsid w:val="36642066"/>
    <w:rsid w:val="3771134D"/>
    <w:rsid w:val="381950AC"/>
    <w:rsid w:val="3A9B21A7"/>
    <w:rsid w:val="499E1F98"/>
    <w:rsid w:val="4F5A1A06"/>
    <w:rsid w:val="574406AC"/>
    <w:rsid w:val="5B9D6319"/>
    <w:rsid w:val="62BC14D0"/>
    <w:rsid w:val="66472435"/>
    <w:rsid w:val="6799296D"/>
    <w:rsid w:val="73C20D75"/>
    <w:rsid w:val="794C38BE"/>
    <w:rsid w:val="798C7179"/>
    <w:rsid w:val="79D157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7"/>
    <w:qFormat/>
    <w:uiPriority w:val="0"/>
    <w:pPr>
      <w:spacing w:after="120"/>
    </w:pPr>
    <w:rPr>
      <w:rFonts w:ascii="Times New Roman" w:hAnsi="Times New Roman"/>
      <w:sz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Hyperlink"/>
    <w:basedOn w:val="9"/>
    <w:qFormat/>
    <w:uiPriority w:val="0"/>
    <w:rPr>
      <w:color w:val="0000FF"/>
      <w:u w:val="single"/>
    </w:rPr>
  </w:style>
  <w:style w:type="character" w:customStyle="1" w:styleId="12">
    <w:name w:val="标题 1 Char"/>
    <w:basedOn w:val="9"/>
    <w:link w:val="2"/>
    <w:qFormat/>
    <w:uiPriority w:val="9"/>
    <w:rPr>
      <w:rFonts w:ascii="Times New Roman" w:hAnsi="Times New Roman" w:cs="Times New Roman"/>
      <w:b/>
      <w:bCs/>
      <w:kern w:val="36"/>
      <w:sz w:val="48"/>
      <w:szCs w:val="48"/>
    </w:rPr>
  </w:style>
  <w:style w:type="paragraph" w:customStyle="1" w:styleId="13">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14">
    <w:name w:val="页眉 Char"/>
    <w:basedOn w:val="9"/>
    <w:link w:val="6"/>
    <w:uiPriority w:val="99"/>
    <w:rPr>
      <w:sz w:val="18"/>
      <w:szCs w:val="18"/>
    </w:rPr>
  </w:style>
  <w:style w:type="character" w:customStyle="1" w:styleId="15">
    <w:name w:val="页脚 Char"/>
    <w:basedOn w:val="9"/>
    <w:link w:val="5"/>
    <w:uiPriority w:val="99"/>
    <w:rPr>
      <w:sz w:val="18"/>
      <w:szCs w:val="18"/>
    </w:rPr>
  </w:style>
  <w:style w:type="character" w:customStyle="1" w:styleId="16">
    <w:name w:val="批注框文本 Char"/>
    <w:basedOn w:val="9"/>
    <w:link w:val="4"/>
    <w:semiHidden/>
    <w:qFormat/>
    <w:uiPriority w:val="99"/>
    <w:rPr>
      <w:kern w:val="2"/>
      <w:sz w:val="18"/>
      <w:szCs w:val="18"/>
    </w:rPr>
  </w:style>
  <w:style w:type="character" w:customStyle="1" w:styleId="17">
    <w:name w:val="正文文本 Char"/>
    <w:link w:val="3"/>
    <w:uiPriority w:val="0"/>
    <w:rPr>
      <w:rFonts w:ascii="Times New Roman" w:hAnsi="Times New Roman"/>
      <w:kern w:val="2"/>
      <w:sz w:val="21"/>
      <w:szCs w:val="24"/>
    </w:rPr>
  </w:style>
  <w:style w:type="character" w:customStyle="1" w:styleId="18">
    <w:name w:val="正文文本 Char1"/>
    <w:basedOn w:val="9"/>
    <w:semiHidden/>
    <w:qFormat/>
    <w:uiPriority w:val="99"/>
    <w:rPr>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28</Pages>
  <Words>11637</Words>
  <Characters>15174</Characters>
  <Lines>126</Lines>
  <Paragraphs>35</Paragraphs>
  <TotalTime>8</TotalTime>
  <ScaleCrop>false</ScaleCrop>
  <LinksUpToDate>false</LinksUpToDate>
  <CharactersWithSpaces>15418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2019-12-12T09:11:00Z</dcterms:created>
  <dc:creator>hao tong</dc:creator>
  <cp:lastModifiedBy>admin</cp:lastModifiedBy>
  <cp:lastPrinted>2019-12-26T07:25:00Z</cp:lastPrinted>
  <dcterms:modified xsi:type="dcterms:W3CDTF">2023-06-15T05:13:30Z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ACF054817159445382F675869BDFF645_13</vt:lpwstr>
  </property>
</Properties>
</file>